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ACJC/522/2017 vom 8. Mai 2017</w:t>
      </w:r>
    </w:p>
    <w:p>
      <w:r>
        <w:t>GE Cour de justice, 2017-05-08, FR</w:t>
      </w:r>
    </w:p>
    <w:p>
      <w:r>
        <w:rPr>
          <w:b/>
        </w:rPr>
        <w:t xml:space="preserve">Quelle: </w:t>
      </w:r>
      <w:r>
        <w:t>https://mcp.opencaselaw.ch/entscheid/ge_gerichte_ACJC_522_2017</w:t>
      </w:r>
    </w:p>
    <w:p>
      <w:r>
        <w:t>FR: GE_GERICHTE ACJC/522/2017 du 8 mai 2017</w:t>
      </w:r>
    </w:p>
    <w:p>
      <w:r>
        <w:t>IT: GE_GERICHTE ACJC/522/2017 del 8 maggio 2017</w:t>
      </w:r>
    </w:p>
    <w:p>
      <w:pPr>
        <w:pStyle w:val="Heading2"/>
      </w:pPr>
      <w:r>
        <w:t>Regeste</w:t>
      </w:r>
    </w:p>
    <w:p>
      <w:r>
        <w:t>Résumé: PAIEMENT DU LOYER PAR TRIMESTRE D'AVANCE - BAIL COMMERCIAL La disposition contractuelle prévoyant le paiement du loyer par trimestre d'avance dans le cadre d'un bail commercial est valable.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