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ACJC/520/2017 vom 8. Mai 2017</w:t>
      </w:r>
    </w:p>
    <w:p>
      <w:r>
        <w:t>GE Cour de justice, 2017-05-08, FR</w:t>
      </w:r>
    </w:p>
    <w:p>
      <w:r>
        <w:rPr>
          <w:b/>
        </w:rPr>
        <w:t xml:space="preserve">Quelle: </w:t>
      </w:r>
      <w:r>
        <w:t>https://mcp.opencaselaw.ch/entscheid/ge_gerichte_ACJC_520_2017</w:t>
      </w:r>
    </w:p>
    <w:p>
      <w:r>
        <w:t>FR: GE_GERICHTE ACJC/520/2017 du 8 mai 2017</w:t>
      </w:r>
    </w:p>
    <w:p>
      <w:r>
        <w:t>IT: GE_GERICHTE ACJC/520/2017 del 8 maggio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- 11/15 -</w:t>
      </w:r>
    </w:p>
    <w:p>
      <w:r>
        <w:t>C/10045/2015 Les grands thèmes pour les praticiens, Neuchâtel, 2010, p. 363; SPÜHLER, BSK ZPO, 2ème édition,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w:t>
      </w:r>
    </w:p>
    <w:p>
      <w:r>
        <w:rPr>
          <w:b/>
        </w:rPr>
        <w:t>E. 1.2</w:t>
      </w:r>
    </w:p>
    <w:p>
      <w:r>
        <w:t>En l'espèce, le loyer annuel sans les charges du logement s'élève à 9'240 fr. En prenant en compte la durée de protection de trois ans, la valeur litigieuse est supérieure à 10'000 fr. (9'240 fr. × 3 ans = 27'720 fr.).</w:t>
      </w:r>
    </w:p>
    <w:p>
      <w:r>
        <w:rPr>
          <w:b/>
        </w:rPr>
        <w:t>E. 1.3</w:t>
      </w:r>
    </w:p>
    <w:p>
      <w:r>
        <w:t>et références citées; MONTINI/WAHLEN in : BOHNET/CARRON/MONTINI, Commentaire pratique : droit du bail à loyer et à ferme, 2ème éd., Bâle, 2017, n. 11 ad art. 266i CO).</w:t>
      </w:r>
    </w:p>
    <w:p>
      <w:r>
        <w:rPr>
          <w:b/>
        </w:rPr>
        <w:t>E. 1.4</w:t>
      </w:r>
    </w:p>
    <w:p>
      <w:r>
        <w:t>La Cour revoit la cause avec un plein pouvoir d'examen (art. 310 CPC; HOHL, Procédure civile, tome II, 2010, n. 2314 et 2416; RETORNAZ, op. cit., p. 349 ss, n. 121).</w:t>
      </w:r>
    </w:p>
    <w:p>
      <w:r>
        <w:rPr>
          <w:b/>
        </w:rPr>
        <w:t>E. 2.1</w:t>
      </w:r>
    </w:p>
    <w:p>
      <w:r>
        <w:t>L'appelante fait essentiellement grief au Tribunal de n'avoir pas retenu qu'elle était co-titulaire du bail ex lege par succession (art. 560 CC), aux côtés de sa mère et de sa sœur, suite au décès de son père le 27 juillet 2005. Dans la mesure où la résiliation litigieuse n'émanait que de sa mère, celle-ci ne produirait aucun effet juridique, de sorte que la nullité de la résiliation du bail par sa mère devait être constatée.</w:t>
      </w:r>
    </w:p>
    <w:p>
      <w:r>
        <w:rPr>
          <w:b/>
        </w:rPr>
        <w:t>E. 2.2</w:t>
      </w:r>
    </w:p>
    <w:p>
      <w:r>
        <w:t>La conclusion d'un contrat de bail et la modification de celui-ci n'est en principe soumis à aucune forme, sous réserve des dispositions impératives de la loi qui exigent, dans certaines situations précises, l'utilisation de la forme écrite ou d'une formule officielle agréée par le canton (cf. notamment art. 266l al. 2, 269d al. 1, 270 al. 2 et 270a CO; ATF 40 II 614 consid. 1; LACHAT, Le bail à loyer, 2008, ch. 6.4.1, p. 179 s. et ch. 22.3.4, p. 557). La modification du contrat de bail, au sujet de la titularité de celui-ci, n'est, quant à elle, soumise à aucune forme, et peut se faire par acte concluant (arrêt du Tribunal fédéral 5C.51/2004 du 28 mai 2004 consid. 3.1 in SJ 2005 I 46; ATF 47 II 416 consid. 2).</w:t>
      </w:r>
    </w:p>
    <w:p>
      <w:r>
        <w:t>Dans un arrêt non publié du 8 juillet 2014, le Tribunal fédéral a estimé que le désintérêt des héritiers - en l'occurrence les enfants - au sujet d'un bail qu'ils n'occupaient pas durant plus de vingt ans pouvait être interprété de bonne foi par le bailleur comme une renonciation tacite de celui-ci, qui plus est lorsque seule la mère habitait dans ledit appartement et que les communications relatives au bail</w:t>
      </w:r>
    </w:p>
    <w:p>
      <w:r>
        <w:t>- 12/15 -</w:t>
      </w:r>
    </w:p>
    <w:p>
      <w:r>
        <w:t>C/10045/2015 lui était adressées à son seule nom, ce qui n'avait jamais suscité la moindre objection des autres héritiers (arrêt du Tribunal fédéral 4A_258/2014 du 8 juillet 2014, consid.</w:t>
      </w:r>
    </w:p>
    <w:p>
      <w:r>
        <w:rPr>
          <w:b/>
        </w:rPr>
        <w:t>E. 2.3.1</w:t>
      </w:r>
    </w:p>
    <w:p>
      <w:r>
        <w:t>La jurisprudence précitée peut s'appliquer mutatis mutandis à la présente affaire, pour les motifs qui suivent.</w:t>
      </w:r>
    </w:p>
    <w:p>
      <w:r>
        <w:t>Jusqu'à la requête en contestation du congé déposée le 19 mai 2015 par l'ASLOCA, au nom de l'appelante, cette dernière n'avait jamais revendiqué, que cela soit auprès de la régie ou de sa mère, être titulaire du contrat de bail litigieux. Au décès de son père, dont le nom figurait sur le contrat de bail au côté de B______, l'appelante s'est désintéressée de la succession et, en particulier, du contrat de bail. Les démarches en lien avec l'appartement litigieux ont d'ailleurs été exclusivement accomplies par B______, soit la mère de l'appelante, notamment pour informer la régie de l'époque du décès de son époux.</w:t>
      </w:r>
    </w:p>
    <w:p>
      <w:r>
        <w:t>L'on ignore à quelle date l'appelante a eu connaissance de l'avenant n° 1 au contrat de bail du 19 janvier 2006 - qu'elle a produit dans le cadre de sa requête - et par lequel seule sa mère, soit B______, devenait titulaire du bail litigieux. Toutefois, lorsque la régie, le 28 juillet 2009, à sa demande, avait refusé d'inscrire son nom sur les plaquettes des boîtes aux lettres de l'immeuble litigieux - au motif que seule B______ était titulaire du bail - l'appelante ne s'y est pas opposée et n'a, en tout état, pas contesté l'assertion du bailleur au sujet de la titularité du bail.</w:t>
      </w:r>
    </w:p>
    <w:p>
      <w:r>
        <w:t>Le contrat de sous-location produit par l'appelante - indépendamment de sa véracité, contestée entre les parties - indique qu'elle-même partait de l'idée qu'elle n'était pas titulaire du bail, faute de quoi un tel contrat n'aurait pas eu de raison d'être.</w:t>
      </w:r>
    </w:p>
    <w:p>
      <w:r>
        <w:t>De même, dans sa première requête en contestation du congé déposée le</w:t>
      </w:r>
    </w:p>
    <w:p>
      <w:r>
        <w:rPr>
          <w:b/>
        </w:rPr>
        <w:t>E. 2.3.2</w:t>
      </w:r>
    </w:p>
    <w:p>
      <w:r>
        <w:t>Enfin, l'appelante n'a pas démontré avoir habité le logement ou s'être acquittée d'un quelconque loyer en lien avec l'appartement litigieux.</w:t>
      </w:r>
    </w:p>
    <w:p>
      <w:r>
        <w:t>A ce propos, B______ et C______ ont déclaré, de manière concordante, que l'appelante résidait en réalité en France. Cet élément est renforcé par les photographies produites par B______ et le bailleur, desquelles il ressort qu'une boîte aux lettres et un interphone étaient au nom de l'appelante, dans un lotissement privé à L______ (France).</w:t>
      </w:r>
    </w:p>
    <w:p>
      <w:r>
        <w:t>La Cour retient également que, malgré les demandes répétées du Tribunal à l'appelante de produire le relevé de ses comptes bancaires, ainsi que les preuves de versement des loyers, celle-ci n'a produit qu'une partie des documents requis.</w:t>
      </w:r>
    </w:p>
    <w:p>
      <w:r>
        <w:t>A ce sujet, l'attestation de l'Hospice général ne saurait démontrer le lieu de résidence de l'intéressée, dans la mesure où cette institution, devant faire face à un nombre important de demandes, n'est pas en mesure de vérifier de manière systématique et approfondie le lieu de résidence effectif des bénéficiaires des prestations d'assistance.</w:t>
      </w:r>
    </w:p>
    <w:p>
      <w:r>
        <w:t>Il ressort également de cette attestation que, du 1er juin 2009 au 31 juin 2013, l'appelante n'aurait participé qu'aux deux tiers du loyer de l'appartement litigieux. Or, cet élément est en contradiction avec le contrat de sous-location produit par l'appelante - dont la véracité a été contestée entre les parties - qui mentionne le paiement de l'entier du loyer à compter du 1er mars 2007. De même, il est en contradiction avec les déclarations de l'appelante, qui a toujours affirmé s'acquitter de l'intégralité du loyer auprès de sa mère, ce que cette dernière a contesté.</w:t>
      </w:r>
    </w:p>
    <w:p>
      <w:r>
        <w:t>Quant au relevé bancaire produit, au seul nom de l'époux de l'appelante et pour la période du 1er janvier 2009 au 31 décembre 2015 uniquement, il ne démontre ni le paiement d'un loyer, ni le lieu de résidence de l'appelante. Au contraire, il ressort de ce dernier qu'il ne servait à percevoir que les prestations de l'Hospice général, dites prestations qui étaient retirées intégralement en espèces peu après leur versement. Aucun paiement, notamment le règlement d'une facture d'un prestataire suisse, ne figure dans ledit relevé. Le raisonnement du Tribunal, qui a considéré qu'il s'agissait d'un indice fort au sujet d'une domiciliation effective de l'appelante en France, ne prête pas le flanc à la critique.</w:t>
      </w:r>
    </w:p>
    <w:p>
      <w:r>
        <w:rPr>
          <w:b/>
        </w:rPr>
        <w:t>E. 2.4</w:t>
      </w:r>
    </w:p>
    <w:p>
      <w:r>
        <w:t>Dans ces circonstances, l'appréciation des premiers juges doit être confirmée et l'appel rejeté. 3. 3.1 A teneur de l'art. 33 al. 1 LaCP, toute autorité, tout membre d'une autorité, tout fonctionnaire et tout officier, qui a connaissance d'un crime ou d'un délit poursuivi d'office, doit en aviser sur-le-champ la police ou le Ministère public (art. 302 al. 2 CPP).</w:t>
      </w:r>
    </w:p>
    <w:p>
      <w:r>
        <w:t>- 14/15 -</w:t>
      </w:r>
    </w:p>
    <w:p>
      <w:r>
        <w:t>C/10045/2015</w:t>
      </w:r>
    </w:p>
    <w:p>
      <w:r>
        <w:t>3.2 B______ a affirmé bénéficier de l'aide de l'Hospice général, notamment pour l'aider au paiement du loyer du logement litigieux. Or, le fait de percevoir des prestations d'assistance sociale suppose le fait d'être domicilié et de résider effectivement dans le canton (art. 11 al. 1 lit. a de la Loi sur l'insertion et l'aide sociale individuelle; LIASI).</w:t>
      </w:r>
    </w:p>
    <w:p>
      <w:r>
        <w:t>La perception desdites prestations suppose en général la communication des éléments permettant de vérifier le droit aux prestations. Lorsque l'autorité est induite en erreur par la communication d'éléments contraires à la vérité ou incomplets, cela est susceptible de constituer à la fois une tromperie et une astuce, si l'autorité ne pouvait que très difficilement déceler la situation réelle (ATF 127 IV 163; et 131 IV 83).</w:t>
      </w:r>
    </w:p>
    <w:p>
      <w:r>
        <w:t>3.3 En l'espèce, plusieurs éléments concordants indiquent que le domicile effectif de l'appelante se situait en réalité en France durant la période litigieuse.</w:t>
      </w:r>
    </w:p>
    <w:p>
      <w:r>
        <w:t>Les déclarations de C______ et B______ s'avèrent ainsi concordantes sur le sujet, cette dernière ayant de plus indiqué que l'intention de l'appelante, au sujet du logement litigieux, était d'obtenir une adresse postale à Genève, à l'intention du Contrôle des habitants. Les photographies de ce que serait la résidence de A______ en France, avec le nom de cette dernière sur une boîte aux lettres et un interphone, produites par le bailleur et B______ confortent encore ces éléments concordants.</w:t>
      </w:r>
    </w:p>
    <w:p>
      <w:r>
        <w:t>Au vu des faits de la cause, il apparaît que l'appelante semble résider hors du canton tout en percevant des prestations d'aide sociale individuelle, ce qui pourrait être notamment constitutif d'une escroquerie, soit d'un crime poursuivi d'office (art. 146 CP).</w:t>
      </w:r>
    </w:p>
    <w:p>
      <w:r>
        <w:t>3.4 Dès lors, conformément à son obligation, la Cour de céans transmettra, à titre d'information, le présent arrêt au Ministère public.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C/10045/2015 PAR CES MOTIFS, La Chambre des baux et loyers : A la forme : Déclare recevable l'appel interjeté le 31 août 2016 par A______ contre le jugement n° JTBL/606/2016, rendu le 29 juin 2016 par le Tribunal des baux et loyers, dans la cause C/10045/2015-1-OSD. Au fond : Confirme ce jugement. Communique le présent arrêt au Ministère public, pour information.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mai 2015, sous le numéro de procédure C/1______/2015, ensuite retirée, c'est en qualité de sous-locataire que l'appelante a agi, à l'encontre de sa mère, soit B______, pour contester la validité du congé.</w:t>
      </w:r>
    </w:p>
    <w:p>
      <w:r>
        <w:t>Au regard de ce qui précède, l'appelante ne saurait aujourd'hui et en raison uniquement de la résiliation du bail, remettre en cause la titularité du bail. Le bailleur pouvait, en effet, considérer de bonne foi que seule la mère de l'appelante était par acte concluant devenue titulaire du bail litigieux depuis le décès de son époux, dans la mesure où l'appelante (ou sa sœur) ne s'était jamais opposée durant plus de neuf ans, ni à l'avenant au contrat de bail du 19 janvier 2006, ni à la teneur du courrier de la régie du 28 juillet 2009.</w:t>
      </w:r>
    </w:p>
    <w:p>
      <w:r>
        <w:t>- 13/15 -</w:t>
      </w:r>
    </w:p>
    <w:p>
      <w:r>
        <w:t>C/10045/2015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