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ACJC/520/2013 vom 24. April 2013</w:t>
      </w:r>
    </w:p>
    <w:p>
      <w:r>
        <w:t>GE Cour de justice, 2013-04-24, FR</w:t>
      </w:r>
    </w:p>
    <w:p>
      <w:r>
        <w:rPr>
          <w:b/>
        </w:rPr>
        <w:t xml:space="preserve">Quelle: </w:t>
      </w:r>
      <w:r>
        <w:t>https://mcp.opencaselaw.ch/entscheid/ge_gerichte_ACJC_520_2013</w:t>
      </w:r>
    </w:p>
    <w:p>
      <w:r>
        <w:t>FR: GE_GERICHTE ACJC/520/2013 du 24 avril 2013</w:t>
      </w:r>
    </w:p>
    <w:p>
      <w:r>
        <w:t>IT: GE_GERICHTE ACJC/520/2013 del 24 aprile 2013</w:t>
      </w:r>
    </w:p>
    <w:p>
      <w:pPr>
        <w:pStyle w:val="Heading2"/>
      </w:pPr>
      <w:r>
        <w:t>Volltext</w:t>
      </w:r>
    </w:p>
    <w:p>
      <w:r>
        <w:t>Le présent arrêt est communiqué aux parties par plis recommandés du</w:t>
      </w:r>
    </w:p>
    <w:p>
      <w:r>
        <w:t>REPUBLIQUE ET</w:t>
      </w:r>
    </w:p>
    <w:p>
      <w:r>
        <w:t>CANTON DE GENEVE POUVOIR JUDICIAIRE C/18096/2011 ACJC/520/2013 ARRÊT DE LA COUR DE JUSTICE Chambre civile</w:t>
      </w:r>
    </w:p>
    <w:p>
      <w:r>
        <w:t>DU MERCREDI 24 AVRIL 2013</w:t>
      </w:r>
    </w:p>
    <w:p>
      <w:r>
        <w:t>Entre A______, domicilié ______ Genève, appelant d'un jugement rendu par la 13ème Chambre du Tribunal de première instance de ce canton le 20 mars 2013, comparant par Me Corinne Arpin, avocate, 8, boulevard des Philosophes, 1205 Genève, en l'étude de laquelle il fait élection de domicile, et B______, domiciliée ______ Genève, intimée, comparant par Me Virginia Lucas, avocate, 27, boulevard Saint-Georges, 1205 Genève, en l'étude de laquelle elle fait élection de domicile,</w:t>
      </w:r>
    </w:p>
    <w:p>
      <w:r>
        <w:t>- 2/3 -</w:t>
      </w:r>
    </w:p>
    <w:p>
      <w:r>
        <w:t>C/18096/2011 Vu le jugement sur mesures protectrices de l'union conjugale du 20 mars 2013, à teneur duquel, notamment, le Tribunal de première instance, après avoir autorisé les époux A______ et B______ à vivre séparés, réserve la jouissance exclusive du logement conjugal à l'épouse (ch. 2 du dispositif) et confirme une curatelle au sens de l'art. 308 al. 2 CC (chiffre 10 du dispositif); Vu l'appel interjeté par le mari à l'encontre des dispositions précitées, l'appelant sollicitant que la jouissance exclusive du logement familial lui soit réservée et que le mandat du curateur soit étendu; Vu la demande d'effet suspensif formée en relation avec le chiffre 2 du dispositif (jouissance du logement familial); Vu la réponse de l'intimée du 22 avril 2013, celle-ci déclarant acquiescer à l'appel sur ce point; Attendu que la suspension de la disposition querellée se justifie dès lors en application de l'art. 315 al. 5 CPC; * * * * * PAR CES MOTIFS, La Chambre civile : Suspend l'effet exécutoire attaché au chiffre 2 du jugement JTPI/4262/2013 rendu le 20 mars 2013 par le Tribunal de première instance dans la cause C/18096/2011-13. Dit que le sort des frais relatifs à la demande d'effet suspensif sera tranché dans la décision au fond. Siégeant : Madame Marguerite JACOT-DES-COMBES, présidente; Madame Nathalie DESCHAMPS, greffière.</w:t>
      </w:r>
    </w:p>
    <w:p>
      <w:r>
        <w:t>La présidente : Marguerite JACOT-DES-COMBES</w:t>
      </w:r>
    </w:p>
    <w:p>
      <w:r>
        <w:t>La greffière : Nathalie DESCHAMPS</w:t>
      </w:r>
    </w:p>
    <w:p>
      <w:r>
        <w:t>- 3/3 -</w:t>
      </w:r>
    </w:p>
    <w:p>
      <w:r>
        <w:t>C/18096/2011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 l'art.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