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ACJC/516/2021 vom 30. April 2021</w:t>
      </w:r>
    </w:p>
    <w:p>
      <w:r>
        <w:t>GE Cour de justice, 2021-04-30, FR</w:t>
      </w:r>
    </w:p>
    <w:p>
      <w:r>
        <w:rPr>
          <w:b/>
        </w:rPr>
        <w:t xml:space="preserve">Quelle: </w:t>
      </w:r>
      <w:r>
        <w:t>https://mcp.opencaselaw.ch/entscheid/ge_gerichte_ACJC_516_2021</w:t>
      </w:r>
    </w:p>
    <w:p>
      <w:r>
        <w:t>FR: GE_GERICHTE ACJC/516/2021 du 30 avril 2021</w:t>
      </w:r>
    </w:p>
    <w:p>
      <w:r>
        <w:t>IT: GE_GERICHTE ACJC/516/2021 del 30 aprile 2021</w:t>
      </w:r>
    </w:p>
    <w:p>
      <w:pPr>
        <w:pStyle w:val="Heading2"/>
      </w:pPr>
      <w:r>
        <w:t>Erwägungen</w:t>
      </w:r>
    </w:p>
    <w:p>
      <w:r>
        <w:rPr>
          <w:b/>
        </w:rPr>
        <w:t>E. 1.1</w:t>
      </w:r>
    </w:p>
    <w:p>
      <w:r>
        <w:t>Il n'y a pas lieu de revenir sur la recevabilité de l'appel et de l'appel joint, qui a été admise par la Cour et n'a pas été critiquée devant le Tribunal fédéral.</w:t>
      </w:r>
    </w:p>
    <w:p>
      <w:r>
        <w:rPr>
          <w:b/>
        </w:rPr>
        <w:t>E. 1.2</w:t>
      </w:r>
    </w:p>
    <w:p>
      <w:r>
        <w:t>L'écriture de l'intimé du 15 février 2021 est recevable, en vertu du droit inconditionnel de celui-ci à la réplique (cf. par exemple ATF 142 III 48 consid. 4.1.1 et arrêt du Tribunal fédéral 5D_74/2019 du 29 mai 2019 consid. 4.1).</w:t>
      </w:r>
    </w:p>
    <w:p>
      <w:r>
        <w:rPr>
          <w:b/>
        </w:rPr>
        <w:t>E. 2.1</w:t>
      </w:r>
    </w:p>
    <w:p>
      <w:r>
        <w:t>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jugé définitivement par le Tribunal fédéral ainsi que par les constatations de fait qui n'ont pas été critiquées devant lui (ATF 131 III 91 consid. 5.2; arrêts du Tribunal fédéral 5A_538/2019 du 1er juillet 2020 consid. 2.1; 4A_555/2015 du 18 mars 2016 consid. 2.2). Des faits nouveaux ne peuvent être pris en considération que sur les points qui ont fait l'objet du renvoi, lesquels ne peuvent être ni étendus, ni fixés sur une base juridique nouvelle. Dans le cadre fixé par l'arrêt de renvoi, la procédure applicable devant l'autorité à laquelle la cause est renvoyée détermine s'il est possible de présenter de nouveaux allégués ou de nouveaux moyens de preuve (ATF 131 III 91 consid. 5.2; arrêts du Tribunal fédéral 5A_631/2018 du 15 février 2019 consid. 3.2.1; 5A_456/2016 du 28 octobre 2016 consid. 1.2). En cas de renvoi de la cause à la cour cantonale par le Tribunal fédéral, le moment déterminant pour statuer sur l'admissibilité des faits et moyens de preuve nouveaux demeure la fin des débats principaux/le début des délibérations de première instance. En effet, l'annulation de la décision cantonale et le renvoi de la cause pour nouvelle décision ont pour effet de reporter la procédure au stade où elle se trouvait immédiatement avant que l'instance d'appel ne se soit prononcée; celle-ci ne se trouve pas saisie d'une nouvelle procédure, mais reprend la procédure qui n'est pas close. C'est toujours l'état de fait soumis au juge de première instance qui est déterminant pour le contrôle de l'application du droit, les faits et moyens de preuve nouveaux étant exceptionnellement admissibles aux conditions de l'art. 317 al. 1 CPC (arrêt du Tribunal fédéral 4A_337/2019 du 18 décembre 2019 consid. 4.1.2 et les références citées). Enfin, le recourant qui a obtenu gain de cause en instance de réforme ne peut, dans la nouvelle procédure cantonale, subir une aggravation de sa position juridique; dans l'éventualité la plus désavantageuse pour lui, il devra s'accommoder du résultat que la partie adverse n'a pas attaqué (ATF 131 III 91</w:t>
      </w:r>
    </w:p>
    <w:p>
      <w:r>
        <w:t>- 10/15 -</w:t>
      </w:r>
    </w:p>
    <w:p>
      <w:r>
        <w:t>C/17196/2016 consid. 5.2 in fine; 116 II 220 consid. 4a; arrêt du Tribunal fédéral 5A_168/2016 du 29 septembre 2016 consid. 4.2 in fine).</w:t>
      </w:r>
    </w:p>
    <w:p>
      <w:r>
        <w:rPr>
          <w:b/>
        </w:rPr>
        <w:t>E. 2.2</w:t>
      </w:r>
    </w:p>
    <w:p>
      <w:r>
        <w:t>En l'espèce, le Tribunal fédéral n'a pas formellement annulé les arrêts attaqués et n'a pas renvoyé la cause à la Cour pour instruction complémentaire. Il résulte des considérants de l'arrêt de renvoi que la Cour ne doit examiner que deux questions: d'une part, celle de savoir si le mode de garde adopté par les parties permet d'exiger de l'appelante un taux d'activité plus élevé que celui prévalant pour une garde exclusive et, d'autre part, celle de savoir si un éventuel déficit de l'ex-épouse peut être couvert, à tout le moins partiellement, par le biais d'une contribution de prise en charge incluse dans les contributions à l'entretien des enfants. Les autres points tranchés dans les arrêts des 30 avril et 9 octobre 2019 ne font pas l'objet du renvoi. Il s'ensuit que les allégations nouvelles de l'appelante figurant dans son écriture du 14 janvier 2021, lesquelles ne concernent pas les deux questions précitées, ne sont pas recevables. Il en va de même des pièces nouvelles déposées avec ladite écriture, ainsi que des conclusions nouvelles de l'appelante, qui n'a pas attaqué les deux arrêts de la Cour et se fonde de surcroît sur des faits nouveaux irrecevables. La Cour basera donc son examen des deux points en question sur l'état de fait tel qu'il était établi au moment où la cause a été gardée à juger sur la demande de révision, soit au 19 septembre 2019.</w:t>
      </w:r>
    </w:p>
    <w:p>
      <w:r>
        <w:rPr>
          <w:b/>
        </w:rPr>
        <w:t>E. 3</w:t>
      </w:r>
    </w:p>
    <w:p>
      <w:r>
        <w:t>L'intimé soutient que l'appelante est en mesure d'exercer une activité à plein temps en dépit du système de garde en vigueur et réaliser un revenu mensuel net de l'ordre de 4'000 fr., lui permettant de couvrir l'intégralité de ses charges, soit 3'726 fr. Avant le prononcé de l'arrêt du 30 avril 2019, "par esprit d'apaisement", l'intimé se déclarait cependant d'accord de verser à son ex-épouse une contribution d'entretien mensuelle de 800 fr. "pour une durée limitée à une année dès l'entrée en force de l'arrêt à rendre". Il précise actuellement que cet engagement vaut pour la période du 1er mai 2019 au 30 avril 2020.</w:t>
      </w:r>
    </w:p>
    <w:p>
      <w:r>
        <w:rPr>
          <w:b/>
        </w:rPr>
        <w:t>E. 3.1</w:t>
      </w:r>
    </w:p>
    <w:p>
      <w:r>
        <w:t>Lorsqu'il entend tenir compte d'un revenu hypothétique, le juge doit examiner successivement deux conditions. Tout d'abord, il doit déterminer si l'on peut raisonnablement exiger du conjoint concerné qu'il exerce une activité lucrative eu égard, notamment, à sa formation, à son âge et à son état de santé: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128 III 4 consid. 4c/bb; arrêt du Tribunal fédéral 5A_472/2019, 5A_994/2019 du 3 novembre 2020 consid. 3.2.1).</w:t>
      </w:r>
    </w:p>
    <w:p>
      <w:r>
        <w:t>- 11/15 -</w:t>
      </w:r>
    </w:p>
    <w:p>
      <w:r>
        <w:t>C/17196/2016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Lorsque la prise en charge d'un enfant est assumée par les deux parents, la capacité de gain de chacun d'eux n'est en principe réduite que dans la mesure de la prise en charge effective (arrêt du Tribunal fédéral 5A_472/2019, 5A_994/2019 précité consid. 3.2.2 et les références citées). La garde alternée est la situation dans laquelle les parents exercent en commun l'autorité parentale, mais se partagent la garde de l'enfant d'une façon alternée pour des périodes plus ou moins égales (arrêts du Tribunal fédéral 5A_557/2020 du 2 février 2021 consid. 3.1).</w:t>
      </w:r>
    </w:p>
    <w:p>
      <w:r>
        <w:rPr>
          <w:b/>
        </w:rPr>
        <w:t>E. 3.2</w:t>
      </w:r>
    </w:p>
    <w:p>
      <w:r>
        <w:t>En l'espèce, au moment de la séparation des parties, le mariage avait duré</w:t>
      </w:r>
    </w:p>
    <w:p>
      <w:r>
        <w:rPr>
          <w:b/>
        </w:rPr>
        <w:t>E. 7</w:t>
      </w:r>
    </w:p>
    <w:p>
      <w:r>
        <w:t>ans et l'appelante était âgée de 41 ans. Les parties ont deux enfants communs, âgés actuellement de 12 et 10 ans. Il n'est pas contesté que le mariage a concrètement influencé la situation financière de l'appelante, comme le Tribunal l'a retenu à juste titre. Il y a ainsi lieu d'examiner si l'ex-épouse est en mesure de pourvoir elle-même à son entretien convenable.</w:t>
      </w:r>
    </w:p>
    <w:p>
      <w:r>
        <w:t>L'arrêt du 30 avril 2019 n'a pas été critiqué en tant que la Cour a fait application du calculateur national de salaires (www.entsendung.admin.ch/Calculateur-de- salaires/home) et a retenu que l'appelante, en travaillant comme ______ dans le domaine de la santé humaine et de l'action sociale (sans aucune année de service, sans formation professionnelle complète et sans fonction de cadre), pouvait réaliser, en travaillant 20 heures par semaine, un revenu mensuel brut de 2'590 fr. (valeur centrale, médiane). Dans le commerce de détail, elle pouvait réaliser, en tant que commerçante ou vendeuse, un salaire mensuel brut de 2'260 fr. à Genève (valeur centrale, médiane). La moyenne entre ces deux montants représentait 2'425 fr. bruts, correspondant, sous déduction d'environ 15% de charges sociales, approximativement à 2'060 fr. Les montants nets de 2'000 fr. pour une activité à 50 %, 3'200 fr. pour une activité à 80 % et de 4'000 fr. pour une activité à plein temps, pouvant être imputés à l'ex-épouse, n'ont pas été critiqués devant le Tribunal fédéral.</w:t>
      </w:r>
    </w:p>
    <w:p>
      <w:r>
        <w:t>Cela étant, les parties se partagent la garde de leurs deux enfants, lesquels se rendent chez leur père du mardi après l'école jusqu'au jeudi à l'entrée à l'école, un week-end sur deux du vendredi après l'école au lundi à l'entrée à l'école, ainsi que durant la moitié des vacances scolaires. La mère prend donc en charge les enfants une semaine du lundi au mardi à l'entrée à l'école, ainsi que du jeudi après l'école au dimanche et la semaine suivante du lundi après l'école au mardi à l'entrée à</w:t>
      </w:r>
    </w:p>
    <w:p>
      <w:r>
        <w:t>- 12/15 -</w:t>
      </w:r>
    </w:p>
    <w:p>
      <w:r>
        <w:t>C/17196/2016 l'école ainsi que du jeudi après l'école au vendredi à la sortie de l'école. Cette organisation permet à la mère de travailler à un taux de 70 %, correspondant à trois jours et demi et de réaliser ainsi un revenu mensuel net de 2'800 fr. (80 % de 4'000 fr.).</w:t>
      </w:r>
    </w:p>
    <w:p>
      <w:r>
        <w:t>Le Tribunal fédéral n'a pas annulé la décision de la Cour en tant qu'elle a accordé à l'appelante un délai au 1er juillet 2019 pour s'adapter à sa nouvelle situation. Le revenu hypothétique de 2'800 fr. par mois sera donc imputé à l'appelante à compter de cette date, son déficit étant de 926 fr. (3'726 fr. - 2'800 fr.). 4. L'intimé fait valoir que les contributions à l'entretien des enfants comprennent une part destinée à garantir leur prise en charge par la mère et que cette part couvre le déficit de celle-ci.</w:t>
      </w:r>
    </w:p>
    <w:p>
      <w:r>
        <w:t>4.1 L'obligation d'entretien envers un enfant mineur prime les autres obligations d'entretien du droit de la famille (art. 276a CC). Aux termes de l'art. 285 CC,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prise en charge de l'enfant ne donne droit à une contribution que si elle a lieu à un moment où le parent pourrait sinon exercer une activité rémunérée (ATF 145 III 393 consid. 2.7.3; 144 III 481 consid. 4.3). En cas de prise en charge par l'un des parents (ou les deux), ce qui l'empêchera de travailler - du moins à plein temps -, la contribution de prise en charge doit permettre de garantir sa présence aux côtés de l'enfant. Si les parents exercent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(ATF 144 III 377 consid. 7.1.3).</w:t>
      </w:r>
    </w:p>
    <w:p>
      <w:r>
        <w:t>4.2 En l'espèce, il n'est pas contesté que tous les coûts directs des enfants sont pris en charge par l'intimé, de sorte que l'appelante n'assume que la moitié de la base mensuelle OP pour chacun d'eux, soit 300 fr. pour C______ et 200 fr., respectivement 300 fr. dès octobre 2020, pour D______, qui a eu 10 ans le 17 octobre 2020, l'intégralité du loyer de la mère étant intégrée dans ses charges de 3'726 fr.</w:t>
      </w:r>
    </w:p>
    <w:p>
      <w:r>
        <w:t>- 13/15 -</w:t>
      </w:r>
    </w:p>
    <w:p>
      <w:r>
        <w:t>C/17196/2016</w:t>
      </w:r>
    </w:p>
    <w:p>
      <w:r>
        <w:t>Par conséquent, les contributions à l'entretien des enfants fixées par la Cour dans l'arrêt sur révision, lesquelles n'ont pas été critiquées devant le Tribunal fédéral, comprennent des contributions de prise en charge de 500 fr pour chacun des enfants (800 fr. - 300 fr. pour C______ et 700 fr. - 200 fr. pour D______) jusqu'en octobre 2020, puis 500 fr. pour C______ et 400 fr. (700 fr. - 300 fr.) pour D______. Il peut être admis, en équité, que ces contributions de prise en charge, de 1'000 fr., respectivement 900 fr., couvrent la totalité du déficit de l'appelante.</w:t>
      </w:r>
    </w:p>
    <w:p>
      <w:r>
        <w:t>Il s'ensuit qu'aucune contribution à l'entretien de l'ex-épouse n'est due par l'intimé à compter du 1er juillet 2019. Il ne résulte pas de l'arrêt de renvoi que la décision de la Cour du 30 avril 2019 aurait été critiquée en tant qu'elle prévoit que jusqu'au 30 juin 2019, l'intimé verserait à l'appelante 3'000 fr. par mois et d'avance. Il sera donné acte à l'intimé de son engagement à verser à son ex-épouse 800 fr. par mois et d'avance pour la période du 1er juillet 2019 au 30 avril 2020.</w:t>
      </w:r>
    </w:p>
    <w:p>
      <w:r>
        <w:t>En définitive, le chiffre 9 du dispositif du jugement du Tribunal du 3 septembre 2018 sera modifié en ce sens que l'intimé sera condamné à verser à l'appelante, par mois et d'avance, à titre de contribution à son entretien, 3'000 fr. jusqu'au 30 juin 2019 et 800 fr. du 1er juillet 2019 au 30 avril 2020, aucune contribution à l'entretien de l'ex-épouse n'étant due à compter du 1er mai 2020. Le jugement attaqué sera confirmé pour le surplus.</w:t>
      </w:r>
    </w:p>
    <w:p>
      <w:r>
        <w:t>L'arrêt de la Cour du 9 octobre 2019 n'a pas été formellement annulé par le Tribunal fédéral, de sorte qu'il est en force. 5. La Cour statue sur les frais judiciaires et les répartit d'office (art. 104 et 105 CPC). Il ne se justifie pas de revenir sur le montant et la répartition des frais judiciaires et des dépens d'appel, le Tribunal fédéral n'ayant pas invité la Cour à se prononcer à nouveau sur ces points, lesquels sont devenus définitifs et exécutoires. Par ailleurs, il sera renoncé à percevoir un émolument de décision dans le cadre de la procédure de renvoi devant la Cour, dès lors qu'elle a été rendue nécessaire par le renvoi du Tribunal fédéral. Les parties ne sollicitent pas de dépens d'appel en lien avec la procédure de renvoi. Ces dépens seraient en toute hypothèse compensés, vu la nature familiale du litige (art. 107 al. 1 let. c CPC). * * * * *</w:t>
      </w:r>
    </w:p>
    <w:p>
      <w:r>
        <w:t>- 14/15 -</w:t>
      </w:r>
    </w:p>
    <w:p>
      <w:r>
        <w:t>C/17196/2016 PAR CES MOTIFS, La Chambre civile : Statuant sur renvoi du Tribunal fédéral : Annule le chiffre 9 du dispositif du jugement JTPI/13139/2018 rendu le 3 septembre 2018 par le Tribunal de première instance dans la cause C/17196/2016-16 et, statuant à nouveau sur ce point : Condamne B______ à verser à A______, par mois et d'avance, à titre de contribution à son entretien, 3'000 fr. jusqu'au 30 juin 2019. Donne acte à B______ de son engagement à verser à A______, par mois et d'avance, à titre de contribution à son entretien, 800 fr. du 1er juillet 2019 au 30 avril 2020. L'y condamne en tant que de besoin. Dit qu'aucune contribution à l'entretien de A______ n'est due par B______ à compter du 1er mai 2020. Déboute les parties de toutes autres conclusions. Dit qu'il n'y a pas lieu à perception de frais judiciaires, ni à fixation de dépens pour la procédure postérieure à l'arrêt de renvoi du Tribunal fédéral. Siégeant : Monsieur Ivo BUETTI, président; Madame Sylvie DROIN, Madame Nathalie RAPP, juges; Madame Camille LESTEVEN, greffière.</w:t>
      </w:r>
    </w:p>
    <w:p>
      <w:r>
        <w:t>Indication des voies de recours :</w:t>
      </w:r>
    </w:p>
    <w:p>
      <w:r>
        <w:t>- 15/15 -</w:t>
      </w:r>
    </w:p>
    <w:p>
      <w:r>
        <w:t>C/17196/2016</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