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ACJC/514/2024 vom 25. April 2024</w:t>
      </w:r>
    </w:p>
    <w:p>
      <w:r>
        <w:t>GE Cour de justice, 2024-04-25, FR</w:t>
      </w:r>
    </w:p>
    <w:p>
      <w:r>
        <w:rPr>
          <w:b/>
        </w:rPr>
        <w:t xml:space="preserve">Quelle: </w:t>
      </w:r>
      <w:r>
        <w:t>https://mcp.opencaselaw.ch/entscheid/ge_gerichte_ACJC_514_2024</w:t>
      </w:r>
    </w:p>
    <w:p>
      <w:r>
        <w:t>FR: GE_GERICHTE ACJC/514/2024 du 25 avril 2024</w:t>
      </w:r>
    </w:p>
    <w:p>
      <w:r>
        <w:t>IT: GE_GERICHTE ACJC/514/2024 del 25 aprile 2024</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w:t>
      </w:r>
    </w:p>
    <w:p>
      <w:r>
        <w:t>- 5/13 -</w:t>
      </w:r>
    </w:p>
    <w:p>
      <w:r>
        <w:t>C/21982/2023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à bien les comprendre, les appelants contestent leur expulsion, motif pris de la violation de leur droit d'être entendus, le Tribunal ne s'étant pas prononcé sur le droit au logement tel que garanti par le droit international, dont ils s'étaient prévalus. La valeur litigieuse est supérieure à 10'000 fr. La voie de l'appel est donc ouverte contre le prononcé de l'évacuation. En revanche, contre les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et le recours, formés dans le délai et la forme prescrits par la loi, sont recevables.</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w:t>
      </w:r>
    </w:p>
    <w:p>
      <w:r>
        <w:t>- 6/13 -</w:t>
      </w:r>
    </w:p>
    <w:p>
      <w:r>
        <w:t>C/21982/2023</w:t>
      </w:r>
    </w:p>
    <w:p>
      <w:r>
        <w:rPr>
          <w:b/>
        </w:rPr>
        <w:t>E. 1.4</w:t>
      </w:r>
    </w:p>
    <w:p>
      <w:r>
        <w:t>L'intimé a produit de nouvelles pièces.</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(arrêt du Tribunal fédéral 5A_790/2016 du 9 août 2018 consid. 3.1).</w:t>
      </w:r>
    </w:p>
    <w:p>
      <w:r>
        <w:rPr>
          <w:b/>
        </w:rPr>
        <w:t>E. 1.4.2</w:t>
      </w:r>
    </w:p>
    <w:p>
      <w:r>
        <w:t>La recevabilité des pièces nouvellement produites peut souffrir de demeurer indécise, dès lors qu'elles ne sont pas pertinentes pour l'issue du litige.</w:t>
      </w:r>
    </w:p>
    <w:p>
      <w:r>
        <w:rPr>
          <w:b/>
        </w:rPr>
        <w:t>E. 2</w:t>
      </w:r>
    </w:p>
    <w:p>
      <w:r>
        <w:t>Les appelants se plaignent d'une violation de leur droit d'être entendus, le Tribunal ayant "rectifié", dans son jugement motivé, le dispositif de son précédent jugement, non motivé.</w:t>
      </w:r>
    </w:p>
    <w:p>
      <w:r>
        <w:rPr>
          <w:b/>
        </w:rPr>
        <w:t>E. 2.1</w:t>
      </w:r>
    </w:p>
    <w:p>
      <w:r>
        <w:t>L'art. 239 al. 1 let. b CPC prévoit que le tribunal peut communiquer la décision aux parties sans motivation écrite en notifiant le dispositif par écrit. Une motivation écrite est remise aux parties, si l'une d'elles le demande dans un délai de dix jours à compter de la communication de la décision. SI la motivation n'est pas demandée, les parties sont considérées avoir renoncé à l'appel ou au recours (art. 239 al. 2 CPC).</w:t>
      </w:r>
    </w:p>
    <w:p>
      <w:r>
        <w:rPr>
          <w:b/>
        </w:rPr>
        <w:t>E. 2.2</w:t>
      </w:r>
    </w:p>
    <w:p>
      <w:r>
        <w:t>Aux termes de l'art. 334 al. 1 CPC, si le dispositif de la décision est peu clair, contradictoire ou incomplet, ou s'il ne correspond pas à la motivation, le Tribunal procède, sur requête ou d'office, à l'interprétation ou à la rectification de la décision. La procédure d'interprétation ou de rectification comporte deux étapes. Dans une première étape, il s'agit de déterminer si les conditions d'une interprétation ou d'une rectification du jugement sont réunies (ATF 143 III 520 consid. 6.1). Le but de l'interprétation et de la rectification n'est pas de modifier la décision du tribunal mais de la clarifier ou de la rendre conforme avec le contenu réellement voulu par celui-ci (arrêt du Tribunal fédéral 5D_776/2019 du 27 octobre 2020 consid. 3.1 et les références citées). La rectification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(arrêt du Tribunal fédéral 4A_393/2023 du 9 janvier 2024 consid. 4.1.2). En revanche, la correction d'erreurs qui procèdent d'une mauvaise application du droit ou d'une constatation inexacte des faits doit être effectuée par la voie du recours (HERZOG, Basler Kommentar, Schweizerische Zivilprozessordnung, 2017,</w:t>
      </w:r>
    </w:p>
    <w:p>
      <w:r>
        <w:t>- 7/13 -</w:t>
      </w:r>
    </w:p>
    <w:p>
      <w:r>
        <w:t>C/21982/2023 n. 8 ad art. 334 CPC). L'interprétation et la rectification ne tendent pas à modifier le jugement rendu (JEANDIN, Commentaire romand CPC, 2019, n. 20 ad Intro art. 308-334 CPC), à la manière d'un appel déguisé. Le juge saisi d'une demande d'interprétation ou de rectification ne doit donc pas changer le fond du jugement (SPÜHLER/DOLGE/GEHRI, Schweizerisches Zivilprozessrecht, 2010, n. 101 p. 389). En effet, en vertu du principe de dessaisissement, le juge ne peut corriger sa décision une fois celle-ci prononcée, même s'il a le sentiment de s'être trompé. Une erreur de fait ou de droit ne peut être corrigée que par les voies de recours (SCHWEIZER, Commentaire romand Code de procédure civile, 2019, n. 1 ad art. 334 CPC). La voie de l'interprétation ou de la rectification permet toutefois, exceptionnellement, au juge de corriger une décision déjà communiquée. En principe, l'interprétation ou la rectification a uniquement pour objet la formulation du dispositif de l'arrêt qui serait peu claire, incomplète, équivoque ou contradictoire en elle-même ou avec les motifs. Un dispositif est peu clair et doit être interprété lorsque les parties ou les autorités qui doivent exécuter la décision risquent subjectivement de comprendre celle-ci autrement que ce que voulait le juge lorsqu'il s'est prononcé. Une requête d'interprétation ou de rectification n'a ainsi pour but que de clarifier ou rendre une décision conforme avec le contenu réellement voulu par le juge (BASTONS BULLETTI, Petit commentaire Code de procédure civile, 2020, n. 1 ad art. 334 CPC; ATF 139 III 379 consid. 2.2). Son objet est de permettre la correction des erreurs de rédaction ou de pures fautes de calcul dans le dispositif qui résultent à l'évidence du texte de la décision, soit des inadvertances ou omissions qui peuvent être corrigées sans hésitation sur la base de ce qui a déjà été décidé. Une requête en rectification ou en interprétation ne peut jamais tendre à une modification matérielle de la décision concernée. Pour cela, seules les voies de l'appel ou du recours sont ouvertes (ATF 143 III 520 consid. 6.1; 143 III 420 consid. 2.1 et 2.3; 139 III 379 consid. 2.1 et 2.2; arrêts du Tribunal fédéral 5A_776/2019 du 27 octobre 2020 consid. 3.1; 5A_79/2019 du 21 novembre 2019 consid. 4.4.2 et 5D_197/2017 du 17 mai 2018 consid. 3.2). La requête doit être adressée à l'autorité qui a rendu le jugement dont l'interprétation ou la rectification est requise (ATF 143 III 520 consid. 6.2).</w:t>
      </w:r>
    </w:p>
    <w:p>
      <w:r>
        <w:rPr>
          <w:b/>
        </w:rPr>
        <w:t>E. 2.3</w:t>
      </w:r>
    </w:p>
    <w:p>
      <w:r>
        <w:t>En l'espèce, dans son jugement non motivé du 14 décembre 2023 (expédié pour notification le lendemain), le Tribunal ne s'est pas prononcé sur le chef de conclusion des intimés en libération du cautionnement constitué, en leur faveur. Il a, par jugement motivé également daté du 14 décembre 2023 (expédié pour notification 10 janvier 2024), sans autre explication, non pas rectifié mais modifié le dispositif de son précédent jugement sur ce point et ordonné la libération du cautionnement en faveur des intimés, alors qu'il n'était habilité, dans le cadre de l'art. 239 CPC, qu'à communiquer aux parties la motivation de la décision d'ores et déjà rendue, sans modification du dispositif de celle-ci.</w:t>
      </w:r>
    </w:p>
    <w:p>
      <w:r>
        <w:t>- 8/13 -</w:t>
      </w:r>
    </w:p>
    <w:p>
      <w:r>
        <w:t>C/21982/2023 Conformément aux principes rappelés supra, le juge qui omet de statuer sur une conclusion d'une partie ne peut pas rectifier sa décision déjà rendue et statuer sur ce point, dès lors qu'un tel procédé revient à modifier matériellement le jugement. Par conséquent, c'est à tort que le Tribunal a modifié son jugement du 14 décembre 2023, les conditions prévues à l'art. 334 al. 1 CPC n'étant pas réalisées.</w:t>
      </w:r>
    </w:p>
    <w:p>
      <w:r>
        <w:rPr>
          <w:b/>
        </w:rPr>
        <w:t>E. 2.4</w:t>
      </w:r>
    </w:p>
    <w:p>
      <w:r>
        <w:t>Le chiffre 4 du dispositif du jugement expédié pour notification aux parties le 10 janvier 2024 sera dès lors annulé.</w:t>
      </w:r>
    </w:p>
    <w:p>
      <w:r>
        <w:rPr>
          <w:b/>
        </w:rPr>
        <w:t>E. 3</w:t>
      </w:r>
    </w:p>
    <w:p>
      <w:r>
        <w:t>A bien les comprendre, les appelants reprochent au Tribunal d'avoir retenu que le cas était clair en dépit du droit au logement dont ils s'étaient prévalus, empêchant le prononcé de leur évacuation.</w:t>
      </w:r>
    </w:p>
    <w:p>
      <w:r>
        <w:rPr>
          <w:b/>
        </w:rPr>
        <w:t>E. 3.1</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4A_195/2023 du 24 juillet 2023 consid. 3.2; 4A_385/2022 du 14 février 2023 consid. 3.2, 4A_282/2015 du 27 juillet 2015 consid. 2.1).</w:t>
      </w:r>
    </w:p>
    <w:p>
      <w:r>
        <w:rPr>
          <w:b/>
        </w:rPr>
        <w:t>E. 3.1.1</w:t>
      </w:r>
    </w:p>
    <w:p>
      <w:r>
        <w:t>Aux termes de l'art. 257 al. 1 CPC,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140 III 315 consid. 5.2.3 et 5.3).</w:t>
      </w:r>
    </w:p>
    <w:p>
      <w:r>
        <w:rPr>
          <w:b/>
        </w:rPr>
        <w:t>E. 3.1.2</w:t>
      </w:r>
    </w:p>
    <w:p>
      <w:r>
        <w:t>La recevabilité de la procédure de protection dans les cas clairs est donc soumise à deux conditions cumulatives.</w:t>
      </w:r>
    </w:p>
    <w:p>
      <w:r>
        <w:rPr>
          <w:b/>
        </w:rPr>
        <w:t>E. 3.1.2.1</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w:t>
      </w:r>
    </w:p>
    <w:p>
      <w:r>
        <w:t>- 9/13 -</w:t>
      </w:r>
    </w:p>
    <w:p>
      <w:r>
        <w:t>C/21982/2023</w:t>
      </w:r>
    </w:p>
    <w:p>
      <w:r>
        <w:rPr>
          <w:b/>
        </w:rPr>
        <w:t>E. 3.1.2.2</w:t>
      </w:r>
    </w:p>
    <w:p>
      <w:r>
        <w:t>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arrêts du Tribunal fédéral 4A_195/2023 précité consid. 3.2.2.2;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3.2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3.3</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arrêts du Tribunal fédéral 9C_3/2011, 9C_51/2011 du</w:t>
      </w:r>
    </w:p>
    <w:p>
      <w:r>
        <w:rPr>
          <w:b/>
        </w:rPr>
        <w:t>E. 3.4</w:t>
      </w:r>
    </w:p>
    <w:p>
      <w:r>
        <w:t>Les rapports entre particuliers relèvent directement des seules lois civiles et pénales et c'est donc par celles-ci que l'individu est protégé contre les atteintes que d'autres sujets de droit privé pourraient porter à ses droits constitutionnels (ATF 107 Ia 277 consid. 3a p. 280 s.; arrêt du Tribunal fédéral 4A_265/2011 du</w:t>
      </w:r>
    </w:p>
    <w:p>
      <w:r>
        <w:rPr>
          <w:b/>
        </w:rPr>
        <w:t>E. 3.5</w:t>
      </w:r>
    </w:p>
    <w:p>
      <w:r>
        <w:t>En l'espèce, les appelants ne contestent à raison pas la réalisation des conditions fixées à l'art. 257d CO, le montant de la dette n'ayant pas été réglé dans le délai fixé à cet effet par la bailleresse. Ils se prévalent de la violation de leur droit d'être entendu, le Tribunal n'ayant pas fait mention du droit au logement qu'ils avaient invoqué, pour s'opposer à leur évacuation.</w:t>
      </w:r>
    </w:p>
    <w:p>
      <w:r>
        <w:t>La Cour ne discerne aucune violation du droit d'être entendu des appelants. Les premiers juges n'ont pas mentionné dans leur jugement le droit au logement. Cela étant, ils ont mentionné les motifs pour lesquels ils ont prononcé l'évacuation des appelants. Il sera rappelé de surcroît que tous les griefs soulevés n'ont pas à être discutés. En tout état, une violation du droit d'être entendu pourrait être réparée par la Cour dans la présente décision, puisqu'elle dispose d'un plein pouvoir d'examen en droit. Conformément aux principes rappelés ci-avant, il est douteux que les appelants puissent se prévaloir des garanties découlant tant du droit international que de la Constitution genevoise. En tout état, les appelants n'ont ni allégué ni rendu vraisemblable qu'ils seraient dans l'impossibilité de se reloger. Si leur situation financière précaire constitue certes un désavantage dans la recherche d'un nouveau logement, elle n'empêche pas les appelants de pouvoir louer un autre appartement. L'appelant bénéficie de prestations d'aide sociale et est suivi par l'Hospice général, qui pourra lui venir en aide dans cette recherche. Les griefs des appelants se révèlent ainsi infondés.</w:t>
      </w:r>
    </w:p>
    <w:p>
      <w:r>
        <w:t>C'est dès lors à bon droit que les premiers juges ont condamné les appelants à évacuer le logement en cause.</w:t>
      </w:r>
    </w:p>
    <w:p>
      <w:r>
        <w:rPr>
          <w:b/>
        </w:rPr>
        <w:t>E. 3.6</w:t>
      </w:r>
    </w:p>
    <w:p>
      <w:r>
        <w:t>Le jugement entrepris sera par conséquent confirmé sur ce point. 4. Les recourants sollicitent l'octroi d'un sursis humanitaire de six mois, jusqu'au 30 juin 2024. 4.1 L'exécution forcée d'un jugement ordonnant l'expulsion d'un locataire est réglée par le droit fédéral (cf. art. 335 et ss CPC). En procédant à l'exécution forcée d'une décision judiciaire, l'autorité doit tenir compte du principe de la proportionnalité. L'expulsion ne saurait être conduite sans ménagement, notamment si des motifs humanitaires exigent un sursis, ou lorsque des indices sérieux et concrets font prévoir que l'occupant se soumettra spontanément au jugement d'évacuation dans un délai raisonnable. En tout état de</w:t>
      </w:r>
    </w:p>
    <w:p>
      <w:r>
        <w:t>- 12/13 -</w:t>
      </w:r>
    </w:p>
    <w:p>
      <w:r>
        <w:t>C/21982/2023 cause, l'ajournement ne peut être que relativement bref et ne doit pas équivaloir en fait à une prolongation de bail (ATF 117 Ia 336 consid. 2b; arrêts du Tribunal fédéral 4A_232/2018 du 23 mai 2018 consid. 7; 4A_207/2014 du 19 mai 2019 considl 3.1).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Cette disposition s'applique, selon ses propres termes, aux logements, c'est-à-dire aux habitations (arrêt du Tribunal fédéral 4A_207/2014 du 19 mai 2014 précité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 4.2 Dans le présent cas, les premiers juges ont accordé un sursis humanitaire aux recourants de 60 jours dès l'entrée en force du jugement, en tenant compte de leur situation financière notamment. Les recourants ont bénéficié, de fait, de plus de six mois d'occupation de l'appartement depuis la résiliation du bail. Ils ne sont pas fondés à obtenir un délai supplémentaire qui reviendrait à leur octroyer une prolongation de bail, à laquelle ils n'ont pas droit. Par conséquent, le sursis accordé par le Tribunal apparaît équitable au sens des principes sus-rappelés et est conforme au principe de proportionnalité. 4.3 Infondé, le recours sera rejeté. 5. A teneur de l'art. 22 al. 1 LaCC, il n'est pas prélevé de frais dans les causes soumises à la juridiction des baux et loyers (ATF 139 III 182 consid. 2.6). * * * * *</w:t>
      </w:r>
    </w:p>
    <w:p>
      <w:r>
        <w:t>- 13/13 -</w:t>
      </w:r>
    </w:p>
    <w:p>
      <w:r>
        <w:t>C/21982/2023 PAR CES MOTIFS, La Chambre des baux et loyers :</w:t>
      </w:r>
    </w:p>
    <w:p>
      <w:r>
        <w:t>A la forme : Déclare recevables l'appel et le recours interjetés le 22 janvier 2024 par A______ et B______ contre le jugement JTBL/1082/2023 rendu le 14 décembre 2023 par le Tribunal des baux et loyers dans la cause C/21982/2023-8-SE. Au fond : Annule le chiffre 4 du dispositif du jugement JTBL/1082//2023, expédié pour notification le 10 janvier 2024. Confirme le jugement entrepris pour le surplus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juillet 2011 consid. 3.2.1). Le Tribunal fédéral a laissé le point de savoir si l'art. 38 Cst./Ge (RS GE A 2 00) constituerait une disposition constitutionnelle conférant un droit directement invocable en justice peut indécis. Il a considéré que les locataires n'établissaient aucunement qu'ils n'avaient pas la possibilité d'obtenir un logement, de sorte que l'on ne saisissait pas en effet d'emblée en quoi la garantie déduite de cette disposition s'appliquerait (arrêt du Tribunal fédéral 5A_232/2020 du 14 mai 2020 consid. 5.2).</w:t>
      </w:r>
    </w:p>
    <w:p>
      <w:r>
        <w:t>S'agissant en particulier du Pacte international relatif aux droits économiques, sociaux et culturels du 16 décembre 1966 (Pacte I ONU), ses dispositions se bornent à prescrire aux Etats, sous la forme d'idées directrices, des objectifs à atteindre dans les divers domaines considérés. Elles leur laissent la plus grande latitude quant aux moyens à mettre en œuvre pour réaliser ces objectifs. Dès lors,</w:t>
      </w:r>
    </w:p>
    <w:p>
      <w:r>
        <w:t>- 11/13 -</w:t>
      </w:r>
    </w:p>
    <w:p>
      <w:r>
        <w:t>C/21982/2023 elles ne revêtent pas, sauf exception (par exemple l'art. 8 al. 1 let. a, relatif au droit de former des syndicats et de s'affilier au syndicat de son choix), le caractère de normes directement applicables (cf. ATF 121 V 246 consid. 2c; 121 V 229 consid. 3b et les références citées; arrêt du Tribunal fédéral 4C.15/2001 du 22 mai 2001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