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ACJC/514/2017 vom 3. Mai 2017</w:t>
      </w:r>
    </w:p>
    <w:p>
      <w:r>
        <w:t>GE Cour de justice, 2017-05-03, FR</w:t>
      </w:r>
    </w:p>
    <w:p>
      <w:r>
        <w:rPr>
          <w:b/>
        </w:rPr>
        <w:t xml:space="preserve">Quelle: </w:t>
      </w:r>
      <w:r>
        <w:t>https://mcp.opencaselaw.ch/entscheid/ge_gerichte_ACJC_514_2017</w:t>
      </w:r>
    </w:p>
    <w:p>
      <w:r>
        <w:t>FR: GE_GERICHTE ACJC/514/2017 du 3 mai 2017</w:t>
      </w:r>
    </w:p>
    <w:p>
      <w:r>
        <w:t>IT: GE_GERICHTE ACJC/514/2017 del 3 maggio 2017</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131 et 142 al. 3 CPC), le recours est en l'espèce recevable.</w:t>
      </w:r>
    </w:p>
    <w:p>
      <w:r>
        <w:rPr>
          <w:b/>
        </w:rPr>
        <w:t>E. 1.2</w:t>
      </w:r>
    </w:p>
    <w:p>
      <w:r>
        <w:t>La cognition de la Cour est limitée à la violation du droit et à la constatation manifestement inexacte des faits (art. 320 CPC).</w:t>
      </w:r>
    </w:p>
    <w:p>
      <w:r>
        <w:rPr>
          <w:b/>
        </w:rPr>
        <w:t>E. 2</w:t>
      </w:r>
    </w:p>
    <w:p>
      <w:r>
        <w:t>Les parties ont produit des pièces nouvelles devant la Cour.</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w:t>
      </w:r>
    </w:p>
    <w:p>
      <w:r>
        <w:t>Selon la doctrine, les "pseudo-nova" devraient être limités à ceux que la partie ignorait sans faute ou négligence de sa part (CHAIX, Introduction au recours de la nouvelle procédure civile fédérale,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ignorés les faits en question sans faute, ne soit pas censée les connaître ou n'ait eu aucune raison de les invoquer plus tôt (ACJC/1050/2013 consid. 2.1; ACJC/1016/2010 consid. 4.1).</w:t>
      </w:r>
    </w:p>
    <w:p>
      <w:r>
        <w:t>- 6/12 -</w:t>
      </w:r>
    </w:p>
    <w:p>
      <w:r>
        <w:t>C/22933/2016</w:t>
      </w:r>
    </w:p>
    <w:p>
      <w:r>
        <w:rPr>
          <w:b/>
        </w:rPr>
        <w:t>E. 2.2</w:t>
      </w:r>
    </w:p>
    <w:p>
      <w:r>
        <w:t>En l'espèce, les pièces produites par la recourante sont toutes antérieures à l'audience qui s'est tenue devant le Tribunal le 30 janvier 2017. Celle-ci n'expose pas les raisons pour lesquelles elle ne les a pas produites à cette dernière date, alors qu'elles tendent à établir la dyslexie de C______, dont elle tire argument pour fonder sa créance. Ces pièces sont en conséquence irrecevables, ainsi que les allégués de fait s'y rapportant car produites tardivement.</w:t>
      </w:r>
    </w:p>
    <w:p>
      <w:r>
        <w:t>La pièce nouvelle produite par l'intimé n'est pas datée. S'agissant d'un bulletin scolaire du 1er semestre 2016-2017, il se peut qu'elle soit postérieure au 30 janvier 2017 et partant recevable. Dans la mesure où elle n'est pas pertinente pour l'issue du litige, la question peut rester indécise.</w:t>
      </w:r>
    </w:p>
    <w:p>
      <w:r>
        <w:rPr>
          <w:b/>
        </w:rPr>
        <w:t>E. 3</w:t>
      </w:r>
    </w:p>
    <w:p>
      <w:r>
        <w:t>La recourante reproche au premier juge d'avoir apprécié les faits de façon erronée, en retenant que l'écolage de l'enfant C______ à F______ ne constituait pas des frais extraordinaires nécessaires, devant être supportés par moitié par l'intimé, en application du chiffre 13 du dispositif du jugement de divorce entre les parties.</w:t>
      </w:r>
    </w:p>
    <w:p>
      <w:r>
        <w:t>3.1.1 L'art. 271 al. 1 ch. 6 LP prescrit que le créancier d'une dette échue et non garantie par gage peut requérir le séquestre des biens du débiteur qui se trouvent en Suisse, lorsqu'il possède contre le débiteur un titre de mainlevée définitive. Lorsqu'il s'agit d'un jugement suisse, les conditions normales des art. 80 et 81 LP s'appliquent (STOFFEL, Basler Kommentar, 2010, n. 107 ad art. 271 SchKG).</w:t>
      </w:r>
    </w:p>
    <w:p>
      <w:r>
        <w:t>Le créancier qui est au bénéfice d'un jugement exécutoire peut requérir du juge la mainlevée définitive de l'opposition (art. 80 al. 1 LP). Celle-ci ne peut être accordée que si le jugement oblige de façon définitive le débiteur à payer une somme d'argent déterminée. La somme d'argent à payer doit être chiffrée dans le jugement ou doit, à tout le moins, en ressortir clairement en relation ou par renvoi à un autre document. Le juge de la mainlevée doit examiner si la prétention déduite en poursuite résulte du jugement produit; ce faisant, il ne doit ni apprécier l'existence matérielle de la prétention, ni examiner le bien-fondé du jugement (ATF 135 III 315 consid. 2.3; 134 III 586 consid. 5.3.2, JdT 2008 II p. 94; 113 III</w:t>
      </w:r>
    </w:p>
    <w:p>
      <w:r>
        <w:rPr>
          <w:b/>
        </w:rPr>
        <w:t>E. 3.2</w:t>
      </w:r>
    </w:p>
    <w:p>
      <w:r>
        <w:t>En l'espèce, la recourante devait rendre vraisemblable, notamment, l'existence d'un cas de séquestre, soit qu'elle disposait d'un titre de mainlevée définitive contre l'intimé. Pour ce faire, elle a produit le jugement de divorce du 29 octobre 2013, reprenant la convention des parties, et fait valoir à l'appui de sa créance, le</w:t>
      </w:r>
    </w:p>
    <w:p>
      <w:r>
        <w:t>- 9/12 -</w:t>
      </w:r>
    </w:p>
    <w:p>
      <w:r>
        <w:t>C/22933/2016 chiffre 13 du dispositif. Elle a également versé à la procédure la facture de F______.</w:t>
      </w:r>
    </w:p>
    <w:p>
      <w:r>
        <w:t>En tant que telle, la clause qui prévoit que l'intimé prendra à sa charge la moitié des frais extraordinaires nécessaires des enfants ne condamne pas le recourant au paiement d'une somme déterminée. La seule production de la facture des frais d'écolage de C______ à F______ est également insuffisante à rendre vraisemblable l'existence d'un titre de mainlevée définitive.</w:t>
      </w:r>
    </w:p>
    <w:p>
      <w:r>
        <w:t>Le chiffre 13 du dispositif du jugement de divorce nécessite une interprétation pour déterminer si l'écolage litigieux représente des frais extraordinaires nécessaires ou non.</w:t>
      </w:r>
    </w:p>
    <w:p>
      <w:r>
        <w:t>A cet égard, il est admis par les parties que la prise en charge de l'écolage de C______ n'est pas expressément prévue par le jugement, alors que celle de celui des deux autres enfants du couple l'était. Dans la mesure où les parties avaient convenu expressément la prise en charge de l'écolage de deux de leurs enfants, et dans une autre disposition celle des frais extraordinaires nécessaires, il est vraisemblable qu'elles considéraient que le premier ne faisait pas partie des seconds. Cette solution est d'ailleurs conforme à ce qui est prévu par l'article 286 al. 3 CC et la jurisprudence y relative.</w:t>
      </w:r>
    </w:p>
    <w:p>
      <w:r>
        <w:t>Il est vrai que selon l'évaluation pédagogique produite par le recourante, l'enfant C______ souffre de dyslexie et que F______ propose des mesures spécifiques pour aider l'enfant. Cependant, d'une part cette évaluation n'émane pas d'un médecin et son résultat est contesté par l'intimé, et d'autre il n'est ni allégué ni démontré qu'une prise en charge particulière de l'enfant ne serait pas possible à l'école publique. En application de la LIP et de la Directive susmentionnée, il apparait au contraire que de telles mesures sont possibles à l'école publique. Dès lors, la recourante n'a pas rendu suffisamment vraisemblable que la scolarisation de C______ dans une école privée était nécessaire et qu'en conséquence les frais extraordinaires en résultant devraient être assumés par moitié par l'intimé. Elle a échoué à rendre vraisemblable sa créance en remboursement, objet du séquestre. C'est ainsi à juste titre que le Tribunal a admis l'opposition à séquestre formée par l'intimé.</w:t>
      </w:r>
    </w:p>
    <w:p>
      <w:r>
        <w:t>Le recours sera dès lors rejeté. 4. Les frais judiciaires du recours seront mis à la charge de la recourante, qui succombe (art. 106 al. 1 CPC).</w:t>
      </w:r>
    </w:p>
    <w:p>
      <w:r>
        <w:t>Ils seront arrêtés à 450 fr. (art. 48 et 61 OELP) et partiellement compensés avec l'avance de frais de 300 fr. fournie par la recourante, qui demeure acquise à l'Etat (art. 111 al. 1 CPC). Celle-ci sera en conséquence condamnée à payer 150 fr. à l'Etat de Genève.</w:t>
      </w:r>
    </w:p>
    <w:p>
      <w:r>
        <w:t>- 10/12 -</w:t>
      </w:r>
    </w:p>
    <w:p>
      <w:r>
        <w:t>C/22933/2016</w:t>
      </w:r>
    </w:p>
    <w:p>
      <w:r>
        <w:t>La recourante sera par ailleurs condamnée à s'acquitter des dépens de sa partie adverse, lesquels seront arrêtés à 800 fr., TVA et débours compris (art. 84, 85 al. 1, 89 et 90 RTFMC, art. 25 et 26 LaCC). * * * * *</w:t>
      </w:r>
    </w:p>
    <w:p>
      <w:r>
        <w:t>- 11/12 -</w:t>
      </w:r>
    </w:p>
    <w:p>
      <w:r>
        <w:t>C/22933/2016 PAR CES MOTIFS, La Chambre civile : A la forme : Déclare recevable le recours interjeté le 14 février 2017 par A______ contre le jugement OSQ/2/2017 rendu le 6 février 2017 par le Tribunal de première instance dans la cause C/22933/2016-2 SQP. Au fond : Le rejette. Déboute les parties de toutes autres conclusions. Sur les frais : Arrête les frais du recours à 450 fr. et les met à la charge de A______. Dit qu'ils sont partiellement compensés avec l'avance de 300 fr. fournie par A______, qui reste acquise à l'Etat. Condamne en conséquence A______ à verser à l'Etat de Genève, soit pour lui les Services financiers du Pouvoir judiciaire la somme de 150 fr. à titre de frais de recours. La condamne également à payer le montant de 800 fr. à B______, à titre de dépens de recours. Siégeant : Madame Pauline ERARD, présidente; Madame Sylvie DROIN et Madame Nathalie LANDRY-BARTHE, juges; Madame Céline FERREIRA, greffière.</w:t>
      </w:r>
    </w:p>
    <w:p>
      <w:r>
        <w:t>La présidente : Pauline ERARD</w:t>
      </w:r>
    </w:p>
    <w:p>
      <w:r>
        <w:t>La greffière : Céline FERREIRA</w:t>
      </w:r>
    </w:p>
    <w:p>
      <w:r>
        <w:t>- 12/12 -</w:t>
      </w:r>
    </w:p>
    <w:p>
      <w:r>
        <w:t>C/22933/2016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rPr>
          <w:b/>
        </w:rPr>
        <w:t>E. 6</w:t>
      </w:r>
    </w:p>
    <w:p>
      <w:r>
        <w:t>consid. 1b; arrêt du Tribunal fédéral 5A_217/2012 du 09.07.2012 consid. 6.1.1., destiné à la publication). Il n'a pas non plus à interpréter le titre de mainlevée qui lui est produit (ATF 124 III 501 consid 3a). Si le jugement n'est pas clair ou incomplet, il incombe au juge du fond de procéder à une interprétation ou à un complément (ATF 135 III 315 consid. 2.3; 134 III 586 consid. 5.3.2, JdT 2008 II p. 94; 113 III 6 consid. 1b; arrêt du Tribunal fédéral 5A_217/2012 du 09.07.2012 consid. 6.1.1., destiné à la publication).</w:t>
      </w:r>
    </w:p>
    <w:p>
      <w:r>
        <w:t>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w:t>
      </w:r>
    </w:p>
    <w:p>
      <w:r>
        <w:t>- 7/12 -</w:t>
      </w:r>
    </w:p>
    <w:p>
      <w:r>
        <w:t>C/22933/2016 656 consid. 5.3.2; JdT 2008 II p. 94; ATF 127 III 232 consid. 3a; arrêt du Tribunal fédéral 5A_217/2012 du 9.07.2012 consid. 6.1.1., destiné à la publication); ce n'est que si le sens du dispositif est douteux et que ce doute ne peut être levé à l'examen des motifs que la mainlevée doit être refusée (arrêt du Tribunal fédéral 5A_217/2012 consid. 6.1.1., destiné à la publication).</w:t>
      </w:r>
    </w:p>
    <w:p>
      <w:r>
        <w:t>3.1.2 Le juge peut contraindre les parents à verser une contribution spéciale lorsque des besoins extraordinaires imprévus de l'enfant le requièrent (art. 286 al. 3 CC).</w:t>
      </w:r>
    </w:p>
    <w:p>
      <w:r>
        <w:t>Il doit s'agir de besoins spécifiques, limités dans le temps, qui n'ont pas été pris en considération lors de la fixation de la contribution ordinaire d'entretien sur la base de l'art. 285 al. 1 CC et qui entraînent une charge financière que celle-ci ne permet pas de couvrir. Leur apparition ne doit pas correspondre à un changement de situation notable et durable, qui justifierait une modification de la contribution d'entretien (art. 286 al. 2 CC). La prestation spéciale peut être demandée pour compléter une contribution d'entretien fixée par un jugement de divorce ou par voie de mesures protectrices de l'union conjugale ou de mesures provisoires, selon le moment où le besoin survient. L'art. 286 al. 3 CC permet ainsi de demander a posteriori une contribution pour des frais qui n'ont pas été prévus au moment de la fixation de l'entretien, tels que des frais dentaires, orthodontiques, optiques ou relatifs à des mesures scolaires particulières et de nature provisoire. Cette disposition n'entre en ligne de compte qu'une fois que les besoins se sont concrétisés (arrêts du Tribunal fédéral 5C.240/2002 du 31 mars 2003 consid. 5; 5C.180/2002 du 20 décembre 2002 consid. 6; 5A_210/2008 du 14.11.2008 consid. 5.4 non publié aux ATF 135 III 158; MICHELI et al., Le nouveau droit du divorce, n. 408 ss, 415, p. 86/87; PERRIN, Commentaire Romand, Code civil I, 2010, ad art. 286, n. 9 p. 1783). D'autre part, les besoins extraordinaires imprévus au sens de cette disposition ne doivent non seulement pas avoir été prévus dans la contribution d'entretien fixée, mais en outre ne pas avoir pu l'être (BREITSCHMID, Basler Kommentar, 2010, ad art. 286, n. 15, p. 1546).</w:t>
      </w:r>
    </w:p>
    <w:p>
      <w:r>
        <w:t>3.1.3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Des solutions intégratives sont préférées aux solutions séparatives dans le respect du bien-être et des possibilités de développement de chaque élève, en tenant compte de l'environnement et de l'organisation scolaire (art. 10 al. 2 de la Loi sur l'Instruction publique du 17 septembre 2015 - LIP - C 1 10).</w:t>
      </w:r>
    </w:p>
    <w:p>
      <w:r>
        <w:t>Afin de soutenir et d'encadrer les élèves en grandes difficultés d'apprentissage, le département délivre des prestations complémentaires d'enseignement et prend des mesures d'organisation adaptées à l'âge des élèves. Ce soutien et cet encadrement</w:t>
      </w:r>
    </w:p>
    <w:p>
      <w:r>
        <w:t>- 8/12 -</w:t>
      </w:r>
    </w:p>
    <w:p>
      <w:r>
        <w:t>C/22933/2016 peuvent prendre la forme de différents dispositifs ou aménagements, tels que l'adaptation des effectifs de classe, les appuis scolaires, les études surveillées, le tutorat, les classes ateliers ou encore les classes relais (art. 25 LIP).</w:t>
      </w:r>
    </w:p>
    <w:p>
      <w:r>
        <w:t>Le département de l'Instruction publique a en outre élaboré une Directive relative aux aménagements scolaires pour des élèves souffrant de dyslexie- dysorthographie, dyscalculie, dysgraphie, dyspraxie (D.SG.04), qui définit les rôles et les responsabilités de chacun des acteurs dans l'accueil dans les écoles genevoise d'élèves souffrant de dyslexie, dysorthographie, dyscalculie, dysgraphie ou dyspraxie et qui établit la liste des aménagements particuliers qui peuvent être mis en place par les enseignant-e-s qui accueillent ces élèves dans leurs classes.</w:t>
      </w:r>
    </w:p>
    <w:p>
      <w:r>
        <w:t>3.1.4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t>L'opposant doit tenter de démontrer que son point de vue est plus vraisemblable que celui du créancier séquestrant (arrêts du Tribunal fédéral 5A_165/2015 du 29 juin 2015 consid. 5.1.1; 5A_328/2013 du 4 novembre 2013 consid. 4.3.2; 5A_925/2012 du 5 avril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