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ACJC/512/2020 vom 6. April 2020</w:t>
      </w:r>
    </w:p>
    <w:p>
      <w:r>
        <w:t>GE Cour de justice, 2020-04-06, FR</w:t>
      </w:r>
    </w:p>
    <w:p>
      <w:r>
        <w:rPr>
          <w:b/>
        </w:rPr>
        <w:t xml:space="preserve">Quelle: </w:t>
      </w:r>
      <w:r>
        <w:t>https://mcp.opencaselaw.ch/entscheid/ge_gerichte_ACJC_512_2020</w:t>
      </w:r>
    </w:p>
    <w:p>
      <w:r>
        <w:t>FR: GE_GERICHTE ACJC/512/2020 du 6 avril 2020</w:t>
      </w:r>
    </w:p>
    <w:p>
      <w:r>
        <w:t>IT: GE_GERICHTE ACJC/512/2020 del 6 aprile 2020</w:t>
      </w:r>
    </w:p>
    <w:p>
      <w:pPr>
        <w:pStyle w:val="Heading2"/>
      </w:pPr>
      <w:r>
        <w:t>Erwägungen</w:t>
      </w:r>
    </w:p>
    <w:p>
      <w:r>
        <w:rPr>
          <w:b/>
        </w:rPr>
        <w:t>E. 4</w:t>
      </w:r>
    </w:p>
    <w:p>
      <w:r>
        <w:t>Les appelants font grief au Tribunal d'avoir violé leur droit d'être entendus en clôturant l'administration des preuves, par appréciation anticipée, au terme de l'audience du 9 février 2018, refusant ce faisant l'audition de B______ et F______, directrice de D______. Ils ont conclu au renvoi de la cause aux premiers juges pour nouvelle décision et à ce qu'il soit ordonné les auditions concernées.</w:t>
      </w:r>
    </w:p>
    <w:p>
      <w:r>
        <w:rPr>
          <w:b/>
        </w:rPr>
        <w:t>E. 4.1.1</w:t>
      </w:r>
    </w:p>
    <w:p>
      <w:r>
        <w:t>Selon l'art. 256 al. 1 CO, le bailleur est tenu de délivrer la chose dans un état approprié à l'usage pour lequel elle a été louée et de l'entretenir dans cet état.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2019, p. 303).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HIGI, Zürcher</w:t>
      </w:r>
    </w:p>
    <w:p>
      <w:r>
        <w:t>- 14/18 -</w:t>
      </w:r>
    </w:p>
    <w:p>
      <w:r>
        <w:t>C/15383/2013 Kommentar, n. 28 ad art. 258 CO; ACJC/181/2010 du 15 février 2010 consid. 2; arrêt du Tribunal fédéral 4A_281/2009 du 31 juillet 2009 consid. 3.2).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259-260). Selon la jurisprudence, tant les nuisances provenant d'un chantier voisin que celles provenant de la réfection de l'immeuble dans lequel se trouve l'objet loué constituent des défauts de la chose louée (LACHAT, op. cit., p. 268; arrêt du Tribunal fédéral 4C.219/2005 du 24 octobre 2005 consid. 2.1 et 2.2). Toute nuisance sonore ne constitue pas nécessairement un défaut de la chose louée. Encore faut-il que les désagréments excèdent les limites de la tolérance (arrêt du Tribunal fédéral 4C_164/1999 du 22 juillet 1999 consid. 2c et les réf. citées). 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 Quant à la réduction du loyer, elle se calcule sur le loyer net, sans les frais accessoires (LACHAT, op. cit.,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315). Comme ce calcul proportionnel n'est pas toujours aisé, il est admis qu'une appréciation en équité, par référence à l'expérience générale de la vie, au bon sens et à la casuistique, n'est pas contraire au droit fédéral (ATF 130 III 504 consid. 4.1). Le Tribunal fédéral retient que pour justifier une réduction de loyer, l'usage de la chose doit être restreint d'au moins 5%, voire de 2% s'il s'agit d'une atteinte permanente (ATF 135 III 345 consid. 3.2).</w:t>
      </w:r>
    </w:p>
    <w:p>
      <w:r>
        <w:t>- 15/18 -</w:t>
      </w:r>
    </w:p>
    <w:p>
      <w:r>
        <w:t>C/15383/2013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accordée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Bohnet/Montini [éd.], 2010,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Seule une réduction de 10% a en revanche été accordée lors de la rénovation de façades, de la création d'un ascenseur et de l'aménagement de combles, le chantier ayant impliqué la mise en place d'échafaudages et l'émanation de poussière et de bruit (arrêt de la Cour de justice ACJC/972/1999 du 4 octobre 1999). Une réduction de 10% qui a été accordée dans le cas de bruits intermittents d'intensité variable et odeurs de peinture (arrêt de la Cour de justice ACJC/683/1996 du 21 juin 1996), de travaux de rénovation légers dans l'immeuble voisin, dont le nettoyage de la façade a provoqué de la poussière et du bruit (arrêt de la Cour de justice ACJC/1257/2001 du 10 décembre 2001). Une réduction de 10% a également été accordée dans un cas de privation d'ascenseur pour un locataire habitant au 4ème étage (CORBOZ, op. cit., p. 145). Enfin, il a également été jugé que des désagréments causés par un chantier voisin de moyenne importance ne représentant que des entraves mineures inhérentes à la vie quotidienne en milieu urbain, ne justifiaient pas une réduction de loyer (CdB 2/2003, p. 54).</w:t>
      </w:r>
    </w:p>
    <w:p>
      <w:r>
        <w:t>- 16/18 -</w:t>
      </w:r>
    </w:p>
    <w:p>
      <w:r>
        <w:t>C/15383/2013</w:t>
      </w:r>
    </w:p>
    <w:p>
      <w:r>
        <w:rPr>
          <w:b/>
        </w:rPr>
        <w:t>E. 4.1.2</w:t>
      </w:r>
    </w:p>
    <w:p>
      <w:r>
        <w:t>Lorsque la maxime inquisitoire sociale est applicable, comme en l'espèce,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Tribunal peut prendre en considération des faits et moyens de preuve nouveaux jusqu'aux délibérations (art. 229 al. 3 CPC; ATF 139 III 457 consid. 4.4.3.2).</w:t>
      </w:r>
    </w:p>
    <w:p>
      <w:r>
        <w:rPr>
          <w:b/>
        </w:rPr>
        <w:t>E. 4.1.3</w:t>
      </w:r>
    </w:p>
    <w:p>
      <w:r>
        <w:t>Garanti par l'art. 29 al. 2 Cst., et concrétisé par l'art. 53 al. 1 CPC,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140 I 285 consid. 6.3.1; 137 II 266 consid. 3.2).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précité consid. 3.1; 4A_159/2016 du 1er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142 II 218 consid. 2.3; 140 I 285 consid. 6.3.1;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w:t>
      </w:r>
    </w:p>
    <w:p>
      <w:r>
        <w:t>- 17/18 -</w:t>
      </w:r>
    </w:p>
    <w:p>
      <w:r>
        <w:t>C/15383/2013 implicitement en ressortir les raisons pour lesquelles le Tribunal dénie toute importance ou pertinence aux moyens de preuve qu'il n'administre pas (ATF 114 II 289 consid. 2a, JdT 1989 I 84; arrêt du Tribunal fédéral 5P_322/2001 du 30 novembre 2001 consid. 3c, n. p. in ATF 128 III 4).</w:t>
      </w:r>
    </w:p>
    <w:p>
      <w:r>
        <w:rPr>
          <w:b/>
        </w:rPr>
        <w:t>E. 4.2</w:t>
      </w:r>
    </w:p>
    <w:p>
      <w:r>
        <w:t>En l'occurrence, il n'est pas contesté que des travaux de rénovation ont été effectués dans la boutique D______. En outre, l'audition des témoins a permis d'établir, de manière suffisamment précise, les faits pertinents, à savoir que ces travaux avaient généré des nuisances liées au bruit (notamment en raison du sciage de dalles et de dépose de coffres-forts) et à des coupures de courant, fuites d'eau, coupures d'air conditionné et de poussière. Les faits pertinents ayant été établis, le Tribunal a clôturé l'administration des preuves sans arbitraire, contrairement à ce que soutiennent les appelants. L'on ne voit pas en quoi l'audition de l'appelant, lequel n'a pas pu comparaître à l'audience du 9 février 2018, serait susceptible de modifier cette appréciation. En outre, les appelants ne sauraient reprocher au Tribunal de n'avoir pas motivé davantage sa décision. Les appelants ont d'ailleurs pu faire valoir leurs moyens dans la présente procédure d'appel. Ainsi, la Cour ne discerne aucune violation du droit à la preuve et du droit d'être entendus des appelants. Enfin, les appelants n'ont pas sollicité, lors de leurs plaidoiries finales, l'audition des personnes concernées.</w:t>
      </w:r>
    </w:p>
    <w:p>
      <w:r>
        <w:t>Sur le fond, la quotité de réduction de loyer de 10% allouée apparaît en outre équitable. Si les appelants ont certes subi les nuisances susmentionnées, leur vitrine est restée visible et accessible et ils n'ont pas dû fermer leur boutique en raison des travaux. Les appelants n'indiquent en outre pas, ni a fortiori ne démontrent, que l'état de l'immeuble - qu'ils qualifient de vétuste - et la présence de substances telles que l'amiante, leur aurait causé une perte d'usage sur la période concernée, que le Tribunal a fixée du 11 février (date de l'ouverture du chantier selon l'extrait du site SAD Consult relatif aux travaux réalisés dans la boutique D______) au 30 juin 2013 (échéance de la période pour laquelle la réduction de loyer a été sollicitée) et qui n'est pas remise en cause par les appelants.</w:t>
      </w:r>
    </w:p>
    <w:p>
      <w:r>
        <w:t>Le jugement entrepris sera ainsi confirmé.</w:t>
      </w:r>
    </w:p>
    <w:p>
      <w:r>
        <w:rPr>
          <w:b/>
        </w:rPr>
        <w:t>E. 5</w:t>
      </w:r>
    </w:p>
    <w:p>
      <w:r>
        <w:t>A teneur de l'art. 22 al. 1 LaCC, il n'est pas prélevé de frais dans les causes soumises à la juridiction des baux et loyers (ATF 139 III 182 consid. 2.6). * * * * *</w:t>
      </w:r>
    </w:p>
    <w:p>
      <w:r>
        <w:t>- 18/18 -</w:t>
      </w:r>
    </w:p>
    <w:p>
      <w:r>
        <w:t>C/15383/2013</w:t>
      </w:r>
    </w:p>
    <w:p>
      <w:r>
        <w:t>PAR CES MOTIFS, La Chambre des baux et loyers : A la forme : Déclare recevable l'appel interjeté le 28 janvier 2019 par A______ et B______ contre le jugement JTBL/1097/2018 rendu le 7 décembre 2018 par le Tribunal des baux et loyers dans la cause C/15383/2013-2-OSD. Au fond : Confirme ce jugement. Dit que la procédure est gratuite. Déboute les parties de toutes autres conclusions. Siégeant : Madame Nathalie LANDRY-BARTHE, présidente; Madame Sylvie DROIN et Monsieur Laurent RIEBEN, juges; Madame Silvia FENIELLO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