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ACJC/511/2021 vom 23. April 2021</w:t>
      </w:r>
    </w:p>
    <w:p>
      <w:r>
        <w:t>GE Cour de justice, 2021-04-23, FR</w:t>
      </w:r>
    </w:p>
    <w:p>
      <w:r>
        <w:rPr>
          <w:b/>
        </w:rPr>
        <w:t xml:space="preserve">Quelle: </w:t>
      </w:r>
      <w:r>
        <w:t>https://mcp.opencaselaw.ch/entscheid/ge_gerichte_ACJC_511_2021</w:t>
      </w:r>
    </w:p>
    <w:p>
      <w:r>
        <w:t>FR: GE_GERICHTE ACJC/511/2021 du 23 avril 2021</w:t>
      </w:r>
    </w:p>
    <w:p>
      <w:r>
        <w:t>IT: GE_GERICHTE ACJC/511/2021 del 23 aprile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w:t>
      </w:r>
    </w:p>
    <w:p>
      <w:r>
        <w:t>En l'espèce, le recours a été interjeté dans le délai légal et selon la forme prescrite. Il est donc recevable.</w:t>
      </w:r>
    </w:p>
    <w:p>
      <w:r>
        <w:t>- 4/7 -</w:t>
      </w:r>
    </w:p>
    <w:p>
      <w:r>
        <w:t>C/8735/2020</w:t>
      </w:r>
    </w:p>
    <w:p>
      <w:r>
        <w:rPr>
          <w:b/>
        </w:rPr>
        <w:t>E. 1.3</w:t>
      </w:r>
    </w:p>
    <w:p>
      <w:r>
        <w:t>Dans le cadre d'un recours, l'autorité a un plein pouvoir d'examen en droit, mais un pouvoir limité à l'arbitraire en fait (art. 320 CPC; HOHL, Procédure civile, Tome II, 2e éd., 2010, n. 2307).</w:t>
      </w:r>
    </w:p>
    <w:p>
      <w:r>
        <w:rPr>
          <w:b/>
        </w:rPr>
        <w:t>E. 1.4</w:t>
      </w:r>
    </w:p>
    <w:p>
      <w:r>
        <w:t>Les pièces nouvelles produites par les parties sont irrecevables, ainsi que les allégations qui s'y rapportent (art. 326 al. 1 CPC).</w:t>
      </w:r>
    </w:p>
    <w:p>
      <w:r>
        <w:rPr>
          <w:b/>
        </w:rPr>
        <w:t>E. 2</w:t>
      </w:r>
    </w:p>
    <w:p>
      <w:r>
        <w:t>Le Tribunal a retenu que le jugement de divorce constituait un titre de mainlevée définitive au sens de l'art. 80 al. 1 LP. Le séquestre des prestations de sortie de l'ex-époux de l'intimée était une question indépendante de la procédure de mainlevée, que le juge de la mainlevée n'avait pas à trancher.</w:t>
      </w:r>
    </w:p>
    <w:p>
      <w:r>
        <w:t>La recourante fait valoir qu'elle ne peut pas "débloquer" le montant prévu par jugement de divorce car elle est tenue de respecter le séquestre pénal, sous peine de s'exposer à des sanctions pénales. Le partage était ainsi "momentanément" irréalisable. La mainlevée de l'opposition devait être refusée pour ce motif. Il incombait à l'intimée de déposer une demande en paiement auprès de la Chambre des assurances sociales de la Cour de justice.</w:t>
      </w:r>
    </w:p>
    <w:p>
      <w:r>
        <w:t>2.1.1 Aux termes de l'art. 80 al. 1 LP, le créancier qui est au bénéfice d'un jugement exécutoire peut requérir du juge la mainlevée définitive de l'opposition.</w:t>
      </w:r>
    </w:p>
    <w:p>
      <w:r>
        <w:t>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w:t>
      </w:r>
    </w:p>
    <w:p>
      <w:r>
        <w:t>L'extinction, le sursis et la prescription ne peuvent être invoqués dans la procédure de mainlevée définitive que s'ils sont postérieurs au jugement (ABBET/VEUILLET, La mainlevée de l'opposition, n. 4 ad art. 81 LP). 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w:t>
      </w:r>
    </w:p>
    <w:p>
      <w:r>
        <w:t>- 5/7 -</w:t>
      </w:r>
    </w:p>
    <w:p>
      <w:r>
        <w:t>C/8735/2020 2.1.2 Selon l'art. 280 al. 1 CPC, le tribunal ratifie la convention de partage des prétentions de prévoyance professionnelle conclue par les époux si ceux-ci se sont entendus sur le partage et les modalités de son exécution, ont produit une attestation des institutions de prévoyance professionnelle concernées qui confirme que l'accord est réalisable et précise le montant des avoirs ou des rentes à partager et qu'il est convaincu que la convention est conforme à la loi.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(art. 280 al. 2 CPC). Bien que l'institution de prévoyance professionnelle ne soit pas partie à la procédure de divorce, ni même partie intervenante, le caractère définitif et exécutoire du jugement à son égard découle de la loi.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A la différence du système en vigueur jusqu'au 31 décembre 1999, il n'y a plus lieu en revanche de lui imposer d'ouvrir action devant un tribunal des assurances (compétent au sens de l'art. 25a LFLP et 73 LPP) dès lors que le jugement de divorce définitif et exécutoire l'est désormais également pour l'institution de prévoyance. Il ne pourrait en aller autrement que dans le cas où le juge du divorce ratifie la convention sans disposer de l'attestation de l'institution de prévoyance professionnelle confirmant le caractère réalisable de l'accord. Dans ce cas en effet le jugement n'est pas contraignant à l'égard de ladite institution et la procédure devra se poursuivre devant le juge des assurances (ATF 129 V 444 consid. 5.3).</w:t>
      </w:r>
    </w:p>
    <w:p>
      <w:r>
        <w:rPr>
          <w:b/>
        </w:rPr>
        <w:t>E. 2.2</w:t>
      </w:r>
    </w:p>
    <w:p>
      <w:r>
        <w:t>En l'espèce, le jugement de divorce constitue, comme l'a retenu à juste titre le Tribunal, un titre de mainlevée définitive de l'opposition formée par la recourante. Celle-ci n'a pas allégué devant le Tribunal que l'accord des époux sur le partage de la prestation de sortie aurait été ratifié par le juge du divorce alors que celui-ci ne disposait pas de l'attestation du caractère réalisable de l'accord. Les allégations de la recourante sur ce point, formulées pour la première fois devant la Cour, sont tardives et ne sont au demeurant étayées par aucune pièce recevable. L'intimée n'était par conséquent pas tenue d'ouvrir action devant la Chambre des assurances sociales, contrairement à ce que soutient la recourante. Le fait que les avoirs de D______ déposés en mains de la recourante aient fait l'objet d'un séquestre pénal en 2015, soit antérieurement au prononcé du jugement de divorce, ne constitue pas un motif de refuser la mainlevée de l'opposition. En</w:t>
      </w:r>
    </w:p>
    <w:p>
      <w:r>
        <w:t>- 6/7 -</w:t>
      </w:r>
    </w:p>
    <w:p>
      <w:r>
        <w:t>C/8735/2020 effet, seules les causes d'extinction de la dette qui sont postérieures au titre de mainlevée peuvent être invoquées par le débiteur. En tout état de cause, il n'est pas contesté que la décision du 26 mai 2020 de la Chambre pénale d'appel et de révision levant le séquestre pénal est définitive et exécutoire, de sorte que l'objection de la recourante tirée de l'existence d'un séquestre pénal n'a plus lieu d'être. Le recours sera par conséquent rejeté.</w:t>
      </w:r>
    </w:p>
    <w:p>
      <w:r>
        <w:rPr>
          <w:b/>
        </w:rPr>
        <w:t>E. 3</w:t>
      </w:r>
    </w:p>
    <w:p>
      <w:r>
        <w:t>La recourante, qui succombe, sera condamnée aux frais judiciaires de recours, arrêtés à 2'250 fr. (art. 48 et 61 OELP) et compensés avec l'avance versée, acquise à l'Etat de Genève (art. 111 al. 1 CPC).</w:t>
      </w:r>
    </w:p>
    <w:p>
      <w:r>
        <w:t>Elle sera en outre condamnée à verser à l'intimée un montant de 5'000 fr. débours et TVA inclus au titre de dépens (art. 84, 85, 88, 89 et 90 RTFMC; 23, 25 et 26 LaCC). * * * * *</w:t>
      </w:r>
    </w:p>
    <w:p>
      <w:r>
        <w:t>- 7/7 -</w:t>
      </w:r>
    </w:p>
    <w:p>
      <w:r>
        <w:t>C/8735/2020 PAR CES MOTIFS, La Chambre civile : A la forme : Déclare recevable le recours interjeté par la A______ contre le jugement JTPI/15158/2020 rendu le 4 décembre 2020 par le Tribunal de première instance dans la cause C/8735/2020-3 SML. Au fond : Rejette ce recours. Déboute les parties de toutes autres conclusions. Sur les frais : Met les frais judiciaires de recours, arrêtés à 2'250 fr. et compensés avec l'avance versée, acquise à l'Etat de Genève, à la charge de la A______. Condamne la A______ à payer à B______ 5'000 fr. au titre de dépens de recours. Siégeant : Monsieur Laurent RIEBEN, président; Madame Sylvie DROIN et Madame Fabienne GEISINGER-MARIETHOZ,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