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ACJC/50/2017 vom 21. Dezember 2015</w:t>
      </w:r>
    </w:p>
    <w:p>
      <w:r>
        <w:t>GE Cour de justice, 2015-12-21, FR</w:t>
      </w:r>
    </w:p>
    <w:p>
      <w:r>
        <w:rPr>
          <w:b/>
        </w:rPr>
        <w:t xml:space="preserve">Quelle: </w:t>
      </w:r>
      <w:r>
        <w:t>https://mcp.opencaselaw.ch/entscheid/ge_gerichte_ACJC_50_2017</w:t>
      </w:r>
    </w:p>
    <w:p>
      <w:r>
        <w:t>FR: GE_GERICHTE ACJC/50/2017 du 21 décembre 2015</w:t>
      </w:r>
    </w:p>
    <w:p>
      <w:r>
        <w:t>IT: GE_GERICHTE ACJC/50/2017 del 21 dicembre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les demandes en paiement portent respectivement sur 32'448 fr. 15 et 5'399 fr. 80, de sorte que la valeur litigieuse est largement supérieure à 10'000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Procédure civile suisse, Les grands thèmes pour les praticiens, Neuchâtel, 2010, p. 349 ss, n. 121).</w:t>
      </w:r>
    </w:p>
    <w:p>
      <w:r>
        <w:rPr>
          <w:b/>
        </w:rPr>
        <w:t>E. 2.1</w:t>
      </w:r>
    </w:p>
    <w:p>
      <w:r>
        <w:t>Le bail à loyer est conclu généralement entre deux contractants. Il se peut toutefois que le bail soit conclu avec plusieurs locataires. Il s’agit alors d’un bail commun.</w:t>
      </w:r>
    </w:p>
    <w:p>
      <w:r>
        <w:t>Cela résulte d’ordinaire du contrat, des circonstances, ou des normes régissant les rapports internes entre les locataires (LACHAT, Le bail à loyer, Lausanne 2008, p. 72).</w:t>
      </w:r>
    </w:p>
    <w:p>
      <w:r>
        <w:t>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(art. 18 al. 1 CO; ATF 132 III 268 consid. 2.3.2).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du Tribunal fédéral 5C-252/2004 du 30 mai 2005 consid. 4.3) – qu’il doit recourir à l’interprétation objective, à savoir rechercher la volonté objective des parties, en déterminant le sens que, d’après les règles de la bonne foi, chacune d’elles pouvait et devait raisonnablement prêter aux déclarations de volonté de l’autre</w:t>
      </w:r>
    </w:p>
    <w:p>
      <w:r>
        <w:t>- 9/11 -</w:t>
      </w:r>
    </w:p>
    <w:p>
      <w:r>
        <w:t>C/26960/2012 (application du principe de la confiance; ATF 132 III 268 consid. 2.3.2). Ce principe permet d’imputer à une partie le sens objectif de sa déclaration ou de son comportement, même si celui-ci ne correspond pas à sa volonté intime (ATF 130 III 417 consid. 3.2; 129 III consid. 2.5; arrêt du Tribunal fédéral 4A_205/2016 du 23 juin 2016 consid. 2.1).</w:t>
      </w:r>
    </w:p>
    <w:p>
      <w:r>
        <w:rPr>
          <w:b/>
        </w:rPr>
        <w:t>E. 2.2</w:t>
      </w:r>
    </w:p>
    <w:p>
      <w:r>
        <w:t>En l’occurrence, l’examen du dossier révèle que l’intention des parties était de ne conclure le bail qu’avec la société F______.</w:t>
      </w:r>
    </w:p>
    <w:p>
      <w:r>
        <w:t>En effet, la procédure a établi que le nom de l’intimé figurait sur la première page des contrats après le nom de F______ et en lien avec cette société puisqu’il était désigné comme son administrateur. Ainsi, les contrats ont été conclus avec « F______, engagée solidairement avec M. D______ son administrateur ». Les dispositions particulières des baux ne mentionnent qu’un seul locataire, prévoyant que tout travaux d’aménagement ou d’installation demandé par l’autorité compétente en fonction de l’exercice de la profession « du locataire » serait à la charge « du locataire », que tout travaux d’amélioration et d’installation exécuté par « le locataire » ne donnerait pas droit à une indemnité en fin de bail, que « la locataire » devrait traiter avec les instances officielles les questions d’éventuelles autorisations et que l’aménagement des locaux incomberait à « la locataire ». En outre, les baux portent la seule signature manuscrite de l’intimé, sous la mention « le locataire : F______ – D______ » ou « le locataire : F______, D______ ». I______ a par ailleurs confirmé que D______ n’était intervenu dans le cadre de la conclusion des baux qu’en sa seule qualité d’administrateur, puisque les autres actionnaires ne pouvaient pas signer les contrats, en raison de leur domicile en France. Enfin, des garanties locatives ont été uniquement fournies par F______, le 14 décembre 1994 et le 15 novembre 1996, soit peu après la conclusion des contrats.</w:t>
      </w:r>
    </w:p>
    <w:p>
      <w:r>
        <w:t>Il ressort également de la procédure que F______ a indiqué, par courrier du 29 août 2003 destiné à la gérante des locaux, qu’elle cesserait d’être locataire dès le 31 août 2003. Or, la gérance n’a répondu qu’à F______, en la personne de son actionnaire, I______, sans aucune mention relative à l’intimé et expliquant que F______ restait responsable de ses engagements jusqu’au 31 août 2008 à moins de présenter un candidat solvable pour la reprise des objets. Les appelantes n’allèguent par ailleurs pas avoir, depuis la fin du mandat d’administrateur de l’intimé, adressé à celui-ci des correspondances à son domicile privé ou professionnel en tant que colocataire des locaux. Il est au contraire établi que toutes les correspondances ont été expédiées au siège de F______. Enfin, il ressort de l’instruction que hormis quelques contacts lors de la conclusion du contrat (discussion sur la durée des baux et le loyer), intervenus en raison du fait qu’il était le seul à pouvoir signer les contrats, aucun échange n’est intervenu directement entre la régie et l’intimé.</w:t>
      </w:r>
    </w:p>
    <w:p>
      <w:r>
        <w:t>- 10/11 -</w:t>
      </w:r>
    </w:p>
    <w:p>
      <w:r>
        <w:t>C/26960/2012</w:t>
      </w:r>
    </w:p>
    <w:p>
      <w:r>
        <w:t>Au vu des éléments qui précèdent, la Cour retiendra que c’est à juste titre que le Tribunal a considéré que la seule titulaire du contrat était la société F______, le fait que les bulletins de versement (réédités en janvier 2015) et avis de majoration de loyer aient été adressés à « Maison F______ / Mr. D______ » ou « F______/M. D______ », « F______ Monsieur D______ » ou encore à « Maison F______ / M. D______ » n’étant pas décisifs à cet égard.</w:t>
      </w:r>
    </w:p>
    <w:p>
      <w:r>
        <w:t>Le jugement sera donc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- 11/11 -</w:t>
      </w:r>
    </w:p>
    <w:p>
      <w:r>
        <w:t>C/26960/2012 PAR CES MOTIFS, La Chambre des baux et loyers : A la forme : Déclare recevable l'appel interjeté le 4 février 2016 par A______ et B______ contre le jugement JTBL/1370/2015 rendu le 21 décembre 2015 par le Tribunal des baux et loyers dans la cause C/26960/2012-5. Au fond : Confirme ce jugement. Dit que la procédure est gratuite. Déboute les parties de toutes autres conclusions. Siégeant : Madame Fabienne GEISINGER-MARIETHOZ, présidente; Madame Pauline ERARD et Monsieur Ivo BUETTI, juges; Madame Laurence MIZRAHI et Monsieur Grégoire CHAMBAZ,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