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ACJC/506/2022 vom 12. April 2022</w:t>
      </w:r>
    </w:p>
    <w:p>
      <w:r>
        <w:t>GE Cour de justice, 2022-04-12, FR</w:t>
      </w:r>
    </w:p>
    <w:p>
      <w:r>
        <w:rPr>
          <w:b/>
        </w:rPr>
        <w:t xml:space="preserve">Quelle: </w:t>
      </w:r>
      <w:r>
        <w:t>https://mcp.opencaselaw.ch/entscheid/ge_gerichte_ACJC_506_2022</w:t>
      </w:r>
    </w:p>
    <w:p>
      <w:r>
        <w:t>FR: GE_GERICHTE ACJC/506/2022 du 12 avril 2022</w:t>
      </w:r>
    </w:p>
    <w:p>
      <w:r>
        <w:t>IT: GE_GERICHTE ACJC/506/2022 del 12 aprile 2022</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w:t>
      </w:r>
    </w:p>
    <w:p>
      <w:r>
        <w:rPr>
          <w:b/>
        </w:rPr>
        <w:t>E. 1.2</w:t>
      </w:r>
    </w:p>
    <w:p>
      <w:r>
        <w:t>En l'occurrence, le renvoi porte sur les frais judiciaires et dépens de première instance. Il convient donc de statuer à nouveau sur ces points.</w:t>
      </w:r>
    </w:p>
    <w:p>
      <w:r>
        <w:rPr>
          <w:b/>
        </w:rPr>
        <w:t>E. 2</w:t>
      </w:r>
    </w:p>
    <w:p>
      <w:r>
        <w:t>CPC).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quant à lui que pour les affaires pécuniaires, le défraiement prend pour base le tarif prévu; sans préjudice de l'art. 23 LaCC, il</w:t>
      </w:r>
    </w:p>
    <w:p>
      <w:r>
        <w:t>- 6/9 -</w:t>
      </w:r>
    </w:p>
    <w:p>
      <w:r>
        <w:t>C/8919/2021 peut s'en écarter plus ou moins de 10% pour tenir compte des éléments rappelés à l'art.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Selon l'art. 85 al. 1 RTFMC, lorsque la valeur litigieuse se situe au-delà de</w:t>
      </w:r>
    </w:p>
    <w:p>
      <w:r>
        <w:rPr>
          <w:b/>
        </w:rPr>
        <w:t>E. 2.1</w:t>
      </w:r>
    </w:p>
    <w:p>
      <w:r>
        <w:t>Les frais au sens large du terme comprennent les frais judiciaires et les dépens, les cantons en fixent le tarif (art. 95 al. 1 et 96 CPC), sont fixés selon le règlement fixant le tarif des frais en matière civile RTFMC; E 1 05.10), complété par les art. 19 à 26 LaCC. Ils sont, en principe, mis à la charge de la partie qui succombe (art. 95 et 106 al. 1 1ère phrase CPC). Les frais judiciaires sont compensés avec les avances fournies par les parties. La partie à qui incombe la charge des frais restitue à l'autre partie les avances que celle-ci a fournies et lui verse les dépens qui lui ont été alloués (art. 11 al. 1 et</w:t>
      </w:r>
    </w:p>
    <w:p>
      <w:r>
        <w:rPr>
          <w:b/>
        </w:rPr>
        <w:t>E. 2.2</w:t>
      </w:r>
    </w:p>
    <w:p>
      <w:r>
        <w:t>L'émolument forfaitaire pour le dépôt d'un mémoire préventif est fixé entre 100 fr. et 500 fr. (art. 27 RTFMC). 2.3.1 Dans le présent cas, il est constant que la recourante a entièrement succombé dans ses conclusions, dès lors que le séquestre requis a été définitivement refusé. Par ailleurs, l'intimé a obtenu gain de cause s'agissant des conclusions prises dans son mémoire préventif. Au regard de la seule valeur litigieuse, de 5'645'957 fr., les dépens devraient être fixés à 61'400 fr. plus 0,75% de la valeur litigieuse dépassant 4 millions de fr., soit 12'344 fr. 65, représentant au total 73'744 fr. 65,</w:t>
      </w:r>
    </w:p>
    <w:p>
      <w:r>
        <w:t>- 7/9 -</w:t>
      </w:r>
    </w:p>
    <w:p>
      <w:r>
        <w:t>C/8919/2021 plus 10,7% de débours et TVA, soit un montant de 81'635 fr. 30. Il convient de réduire ce montant d'un tiers et au plus à un cinquième, soit de 27'211 fr. 75 respectivement de 65'308 fr. 25, ramenant ainsi le montant des dépens à 54'423 fr. 55 (81'635 fr. 30 – 27'211 fr. 75), respectivement à 16'327 fr. 05 (81'635 fr. 30 - 65'308 fr. 25). Conformément aux principes rappelés sous consid. 2.1 supra, il y a lieu de prendre en compte, comme le requiert la recourante, également le travail effectivement consacré par le conseil de l'intimé. L'activité déployée par ce dernier en procédure de première instance a consisté à rédiger un mémoire préventif de vingt-deux pages et à confectionner un chargé de cinquante-six pièces, à prendre connaissance de la requête de séquestre et des titres versés, et à déposer un mémoire complémentaire de neuf pages, accompagné de dix-huit pièces, à la suite de l'arrêt rendu par la Cour. Il y a pour le surplus lieu de prendre en considération que les parties se sont opposées et s'opposent dans plusieurs procédures, de sorte que le conseil de l'intimé a pu s'inspirer d'une partie des écritures déposées dans ce cadre. Enfin, il se justifie de considérer que la procédure de séquestre n'était pas simple et que la responsabilité de l'avocat de l'intimé était accrue, compte tenu de l'importante valeur litigieuse. Au vu de l'ensemble des éléments qui précèdent, les dépens de première instance seront arrêtés à 7'500 fr. arrondis, débours et TVA inclus (art. 84, 85 et 90 RTFMC; art. 25 et 26 LaCC), correspondant à 15 heures d'activités au tarif horaire de 450 fr., plus 10,7% de débours et TVA. Le chiffre 7 du dispositif de l'ordonnance SQ/534/2021 sera dès lors annulé et il sera statué à nouveau (art. 327 al. 3 let. c CPC) en ce sens que les dépens dus par la recourante à l'intimé seront fixés à 7'500 fr. 2.3.2 Dans son ordonnance, le Tribunal a arrêté le montant des frais judiciaires du mémoire préventif à 600 fr., montant qui n'est pas conforme aux dispositions légales, lequel limite ces frais à 500 fr. au maximum. Le recours se révèle fondé en ce qui concerne la quotité des frais dudit mémoire préventif, laquelle sera arrêtée à 500 fr. En revanche, rien ne justifie de ne pas mettre lesdits frais à la charge de la recourante. En effet, et comme rappelé ci-avant, elle a intégralement succombé dans ses conclusions, tant s'agissant de sa requête de séquestre que s'agissant des conclusions relatives au mémoire préventif. Les frais judiciaires du mémoire préventif, de 500 fr., seront dès lors mis à sa charge (art. 106 CPC). Les chiffres 4, 5 et 6 du dispositif de l'ordonnance seront dès lors annulés, et il sera statué à nouveau en ce sens que les frais judiciaires seront arrêtés à 2'500 fr.</w:t>
      </w:r>
    </w:p>
    <w:p>
      <w:r>
        <w:t>- 8/9 -</w:t>
      </w:r>
    </w:p>
    <w:p>
      <w:r>
        <w:t>C/8919/2021 (séquestre et mémoire préventif), compensés avec les avances de frais fournies par les parties (art. 111 al. 1 CPC), mis à la charge de la recourante, condamnée à rembourser à l'intimé la somme de 500 fr. (art. 111 al. 2 CPC). Les Services financiers du Pouvoir judiciaires seront par ailleurs invités à restituer à l'intimé le montant de 100 fr. 3. Les frais judiciaires en 3'000 fr. fixés dans l'arrêt de la Cour du 27 juillet 2021 n'ont pas été contestés, de sorte qu'ils ne seront pas revus. Il n'y a pas lieu à allocation de dépens pour la rédaction des déterminations sur renvoi du Tribunal fédéral. De même, n'est-il pas perçu d'émolument pour la procédure sur renvoi. * * * * *</w:t>
      </w:r>
    </w:p>
    <w:p>
      <w:r>
        <w:t>- 9/9 -</w:t>
      </w:r>
    </w:p>
    <w:p>
      <w:r>
        <w:t>C/8919/2021 PAR CES MOTIFS, La Chambre civile : Statuant sur renvoi du Tribunal fédéral sur les frais et dépens de première instance : Annule les chiffres 4 à 7 du dispositif de l'ordonnance SQ/534/2021 rendue le 29 juin 2021 par le Tribunal de première instance dans la cause C/8919/2021-24 SQP. Cela fait et statuant à nouveau sur ces points : Arrête les frais judiciaires de première instance à 2'500 fr., compensés avec les avances de frais fournies par les parties, acquises à l'Etat de Genève et les met à la charge de A______ SA. Condamne A______ SA à rembourser à B______ la somme de 500 fr. à ce titre. Invite les Services financiers du Pouvoir judiciaire à restituer à B______ le montant de 100 fr. Condamne A______ SA à verser à B______ 7'500 fr. à titre de dépens de première instance. Dit qu'il n'y a pas lieu à perception de frais judiciaires, ni à fixation de dépens pour la procédure postérieure à l'arrêt de renvoi du Tribunal fédéral. Déboute les parties de toutes autres conclusions.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Valeur litigieuse des conclusions pécuniaires au sens de la LTF inférieure à 30'000 fr.</w:t>
      </w:r>
    </w:p>
    <w:p>
      <w:r>
        <w:rPr>
          <w:b/>
        </w:rPr>
        <w:t>E. 4</w:t>
      </w:r>
    </w:p>
    <w:p>
      <w:r>
        <w:t>millions de fr. et jusqu'à 10 millions de fr, le défraiement est de 61'400 fr. plus 0,75% de la valeur litigieuse dépassant 4 millions de fr. Pour les procédures sommaires, le défraiement est, dans la règle, réduit à deux tiers et au plus à un cinquième du tarif de l'article 85 RTFMC (art. 88 RTFMC). Au montant du tarif s'ajoutent la TVA et les débours en 10,7% au total (art. 25 et 26 LaCC).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(arrêts du Tribunal fédéral 5A_1007/2017 du 6 avril 2018 consid. 2.2.2 et 2.3.3; 5A_171/2014 du 14 juillet 2014 consid. 2.3.2 et les réf. cit; ACJC/941/2020 du 30 juin 2020 consid. 5.1 et 5.2; ACJC/1669/2019 du</w:t>
      </w:r>
    </w:p>
    <w:p>
      <w:r>
        <w:rPr>
          <w:b/>
        </w:rPr>
        <w:t>E. 6</w:t>
      </w:r>
    </w:p>
    <w:p>
      <w:r>
        <w:t>novembre 2019 consid. 2.1.2; CORBOZ, Commentaire de la LTF, 2014, n. 35 ad art. 68 LTF).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