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ACJC/505/2013 vom 6. Juli 2012</w:t>
      </w:r>
    </w:p>
    <w:p>
      <w:r>
        <w:t>GE Cour de justice, 2012-07-06, FR</w:t>
      </w:r>
    </w:p>
    <w:p>
      <w:r>
        <w:rPr>
          <w:b/>
        </w:rPr>
        <w:t xml:space="preserve">Quelle: </w:t>
      </w:r>
      <w:r>
        <w:t>https://mcp.opencaselaw.ch/entscheid/ge_gerichte_ACJC_505_2013</w:t>
      </w:r>
    </w:p>
    <w:p>
      <w:r>
        <w:t>FR: GE_GERICHTE ACJC/505/2013 du 6 juillet 2012</w:t>
      </w:r>
    </w:p>
    <w:p>
      <w:r>
        <w:t>IT: GE_GERICHTE ACJC/505/2013 del 6 luglio 2012</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En l’espèce, vu le loyer annuel de 11’820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ATF 119 II 147), celle-ci est largement supérieure à 10'000 fr.</w:t>
      </w:r>
    </w:p>
    <w:p>
      <w:r>
        <w:rPr>
          <w:b/>
        </w:rPr>
        <w:t>E. 1.2</w:t>
      </w:r>
    </w:p>
    <w:p>
      <w:r>
        <w:t>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w:t>
      </w:r>
    </w:p>
    <w:p>
      <w:r>
        <w:t>- 5/8 -</w:t>
      </w:r>
    </w:p>
    <w:p>
      <w:r>
        <w:t>C/6026/2011 Les autres conditions de recevabilité rappelées ci-dessus sont par ailleurs manifes- tement réunies (cf. art. 145 al. 1 let. b CPC). Dès lors, l’appel est recevable. S’agissant des pièces nouvelles produites par l’intimée, lesquelles portent sur un nouveau congé, la Cour se dispensera d’en examiner la recevabilité, tant il est vrai qu’elles sont sans pertinence pour l’issue du litige.</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in CPC, Code de procédure civile commenté, BOHNET/HALDY/JEANDIN/SCHWEIZER/ TAPPY, n° 6 ad art. 310 CPC).</w:t>
      </w:r>
    </w:p>
    <w:p>
      <w:r>
        <w:rPr>
          <w:b/>
        </w:rPr>
        <w:t>E. 3.1</w:t>
      </w:r>
    </w:p>
    <w:p>
      <w:r>
        <w:t>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120 II 105 consid. 3) Les cas typiques d’abus de droit (absence d’intérêt à l’exercice d’un droit, utilisa- 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 port de confiance inhérent à la relation contractuelle existante (ATF 120 II 105 consid. 3a; 120 II 31 consid. 4a). La partie qui demande l’annulation du congé doit rendre à tout le moins vraisem- blable la mauvaise foi de sa partie adverse (arrêts du Tribunal fédéral</w:t>
      </w:r>
    </w:p>
    <w:p>
      <w:r>
        <w:t>- 6/8 -</w:t>
      </w:r>
    </w:p>
    <w:p>
      <w:r>
        <w:t>C/6026/2011 4A.472/2007 du 11 mars 2008, consid. 2.1; 4C.433/2006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rPr>
          <w:b/>
        </w:rPr>
        <w:t>E. 3.2</w:t>
      </w:r>
    </w:p>
    <w:p>
      <w:r>
        <w:t>L’appelante soutient que le congé serait dicté par des motifs économiques, soit le souhait de la bailleresse de relouer l’appartement à un tiers, pour un loyer plus élevé, et que dès lors le motif invoqué ne serait qu’un prétexte. La Cour ne peut que constater, avec l’appelante, qu’en effet le motif invoqué à l’appui du congé n’apparaît que très peu crédible, au vu du nombre important de contradictions et d’invraisemblances qui sont ressorties au cours de l’instruction. En premier lieu, le frère de l’intimée, à qui l’appartement serait destiné, a admis ne jamais avoir visité celui-ci. Visiblement, il n’en a pas même consulté les plans, puisqu’il s’est contenté de la description que lui en a faite sa sœur. En deuxième lieu, l’appartement litigieux dispose d’une pièce de moins que celui dans lequel le frère de l’intimée est actuellement logé. S’il venait à emménager dans cet appartement, ses deux fils devraient partager la même chambre, alors qu’ils disposent pour l’heure chacun d'une chambre. En troisième lieu, la bailleresse a, de manière tout à fait opportune - vu le nombre de pièces de l’appartement litigieux -, indiqué, lorsqu’elle a été entendue par le Tribunal des baux et loyers, avant que son frère ne soit lui-même auditionné quelques mois plus tard, que ce dernier, marié, n’avait qu’un seul enfant. Il est évidemment fort peu vraisemblable qu’elle ignore le nombre d’enfants de son frère, alors même qu’elle prétend lui destiner son plus bel appartement, et notifie pour cela un congé à la locataire en place depuis plus de trente ans, de sorte que cette déclaration erronée est suspecte. En quatrième lieu, il est tout à fait étonnant également que l’intimée et son frère n’aient même pas discuté à l’avance des conditions locatives futures, ce dernier se contentant d’espérer qu’elle ferait «un effort». En cinquième lieu, la bailleresse a indiqué que c’était pour des motifs profession- nels que son frère souhaitait déménager à Genève, alors que lui-même a déclaré</w:t>
      </w:r>
    </w:p>
    <w:p>
      <w:r>
        <w:t>- 7/8 -</w:t>
      </w:r>
    </w:p>
    <w:p>
      <w:r>
        <w:t>C/6026/2011 que c’était avant tout pour se rapprocher de la communauté russophone qu’il désirait venir à Genève. En sixième lieu, le motif invoqué par le frère de l’intimée pour déménager de Lausanne à Genève, soit celui de se rapprocher de la communauté russophone et de l’aéroport, apparaît bien faible par rapport au fait que ses deux fils sont scola- risés à Lausanne et devraient donc changer d’école - à tout le moins son fils cadet -, puisque l’aîné devait quoi qu’il en soit passer de l’école privée à l’école publique. En septième lieu, en déménageant à Genève, le frère de l’intimée quitterait un appartement dont il est propriétaire, pour emménager dans un appartement qui ne lui appartient pas et où il serait donc locataire. En dernier lieu, l’appartement litigieux se trouve - fort opportunément à nouveau - être le plus beau et le plus grand de l’immeuble, tout en ayant un loyer largement inférieur à onze des treize autres appartements, le plus cher ayant un loyer près de deux fois plus élevé que celui payé par l’appelante. L’intimée a même laissé entendre dans une de ses écritures de première instance, que le loyer actuel ne serait pas «décent», raison pour laquelle, à terme, elle entendait le majorer. Elle a par ailleurs relevé dans son mémoire de réponse adressé à la Cour de céans que le loyer versé par l’appelante était «extrêmement bas». Force est dès lors de constater que non seulement le motif invoqué à l’appui du congé n’apparaît que très peu crédible, mais qu’en outre le dessein économique de la résiliation semble tout à fait vraisemblable, pour ne pas dire hautement pro- bable. Il résulte de ce qui précède que l’appelante a rendu à tout le moins vraisemblable la mauvaise foi de l’intimée, de sorte que conformément aux jurisprudences citées ci-dessus, le congé doit être annulé.</w:t>
      </w:r>
    </w:p>
    <w:p>
      <w:r>
        <w:rPr>
          <w:b/>
        </w:rPr>
        <w:t>E. 4</w:t>
      </w:r>
    </w:p>
    <w:p>
      <w:r>
        <w:t>Dans cette mesure, la question subsidiaire de la prolongation de bail devient sans objet.</w:t>
      </w:r>
    </w:p>
    <w:p>
      <w:r>
        <w:rPr>
          <w:b/>
        </w:rPr>
        <w:t>E. 5</w:t>
      </w:r>
    </w:p>
    <w:p>
      <w:r>
        <w:t>La procédure est gratuite, en ce sens qu’il n’est pas perçu de frais judiciaires ou de dépens (art. 22 al. 1 LaCC; art. 95 al. 1 CPC). * * * * *</w:t>
      </w:r>
    </w:p>
    <w:p>
      <w:r>
        <w:t>- 8/8 -</w:t>
      </w:r>
    </w:p>
    <w:p>
      <w:r>
        <w:t>C/6026/2011 PAR CES MOTIFS, La Chambre des baux et loyers : A la forme : Déclare recevable l’appel interjeté par A______ contre le jugement JTBL/660/2012 rendu le 6 juillet 2012 par le Tribunal des baux et loyers dans la cause C/6026/2011-5- OSB. Au fond : Annule ce jugement. Cela fait et statuant à nouveau : Annule le congé notifié le 19 février 2011 pour le 31 mai 2011 par B______ à A______ pour l’appartement de quatre pièces au 4ème étage de l’immeuble sis 10, rue C______ à Genève.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