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ACJC/503/2013 vom 22. April 2013</w:t>
      </w:r>
    </w:p>
    <w:p>
      <w:r>
        <w:t>GE Cour de justice, 2013-04-22, FR</w:t>
      </w:r>
    </w:p>
    <w:p>
      <w:r>
        <w:rPr>
          <w:b/>
        </w:rPr>
        <w:t xml:space="preserve">Quelle: </w:t>
      </w:r>
      <w:r>
        <w:t>https://mcp.opencaselaw.ch/entscheid/ge_gerichte_ACJC_503_2013</w:t>
      </w:r>
    </w:p>
    <w:p>
      <w:r>
        <w:t>FR: GE_GERICHTE ACJC/503/2013 du 22 avril 2013</w:t>
      </w:r>
    </w:p>
    <w:p>
      <w:r>
        <w:t>IT: GE_GERICHTE ACJC/503/2013 del 22 aprile 2013</w:t>
      </w:r>
    </w:p>
    <w:p>
      <w:pPr>
        <w:pStyle w:val="Heading2"/>
      </w:pPr>
      <w:r>
        <w:t>Regeste</w:t>
      </w:r>
    </w:p>
    <w:p>
      <w:r>
        <w:t>Résumé: MISE EN DEMEURE - PAIEMENT DES LOYERS PAR TRIMESTRE D'AVANCE La mise en demeure de l'article 1 al. 2 CCR (contrat-cadre romand de baux à loyer) ne doit pas obligatoirement être adressée au conjoint du locataire pour être valable.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