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ACJC/503/2002 vom 19. April 2002</w:t>
      </w:r>
    </w:p>
    <w:p>
      <w:r>
        <w:t>GE Cour de justice, 2002-04-19, FR</w:t>
      </w:r>
    </w:p>
    <w:p>
      <w:r>
        <w:rPr>
          <w:b/>
        </w:rPr>
        <w:t xml:space="preserve">Quelle: </w:t>
      </w:r>
      <w:r>
        <w:t>https://mcp.opencaselaw.ch/entscheid/ge_gerichte_ACJC_503_2002</w:t>
      </w:r>
    </w:p>
    <w:p>
      <w:r>
        <w:t>FR: GE_GERICHTE ACJC/503/2002 du 19 avril 2002</w:t>
      </w:r>
    </w:p>
    <w:p>
      <w:r>
        <w:t>IT: GE_GERICHTE ACJC/503/2002 del 19 aprile 2002</w:t>
      </w:r>
    </w:p>
    <w:p>
      <w:pPr>
        <w:pStyle w:val="Heading2"/>
      </w:pPr>
      <w:r>
        <w:t>Erwägungen</w:t>
      </w:r>
    </w:p>
    <w:p>
      <w:r>
        <w:rPr>
          <w:b/>
        </w:rPr>
        <w:t>E. 2</w:t>
      </w:r>
    </w:p>
    <w:p>
      <w:r>
        <w:t>Responsabilité de D______ et action directe contre l'appelante</w:t>
      </w:r>
    </w:p>
    <w:p>
      <w:r>
        <w:t>Ces points ne nécessitent pas d'examen approfondi dans la mesure où ils ne font pas l'objet de contestations sérieuses. En effet, seul D______ a contesté sa responsabilité lors de son audition du 18 décembre 1996, et ce sans apporter d'argument en ce sens. La Cour reprendra donc ici les développements du premier juge.</w:t>
      </w:r>
    </w:p>
    <w:p>
      <w:r>
        <w:t>Selon l'art. 58 LCR, le détenteur d'un véhicule automobile est civilement responsable, lorsqu'une personne est tuée ou blessée ou qu'un dommage matériel est causé, par suite de l'emploi du véhicule. La responsabilité du détenteur est ainsi causale, ou objective, à raison du risque créé, qui existe indépendamment de toute faute de sa part (Brehm, La responsabilité civile automobile, Berne, 1999, p. 4 ss; Rey, Ausservertragliches Haftplflichtrecht, Zurich, 1998, p. 278).</w:t>
      </w:r>
    </w:p>
    <w:p>
      <w:r>
        <w:t>Il résulte de l'art. 59 LCR que le détenteur n'est libéré de sa responsabilité que s'il peut prouver l'interruption de causalité entre l'emploi du véhicule et le dommage. Pour cela, il faut, cumulativement, que le dommage soit dû à une faute grave du lésé ou d'un tiers, voire à un cas de force majeure, que le détenteur n'ait commis aucune faute, et que son véhicule ne présente, au moment où le dommage est causé, aucune défectuosité (Brehm, op. cit., p. 5 ss et 115 ss; Rey, op. cit., p. 290 ss).</w:t>
      </w:r>
    </w:p>
    <w:p>
      <w:r>
        <w:t>- 23 - Communiqué le présent arrêt aux parties par plis recommandés du ______</w:t>
      </w:r>
    </w:p>
    <w:p>
      <w:r>
        <w:t>En l'espèce, il est avéré que B______ a subi divers dommages corporels et matériels suite à l'accident de la circulation du 12 octobre 1989, et que ce préjudice résulte de manière exclusive de la collision frontale entre son véhicule et celui que conduisait D______. Ce dernier s'est borné à nier sa responsabilité dans l'accident, sans contester le rapport de police relatif à celui-ci. Ce document relève pourtant que D______, réalisant diverses infractions à la LCR, roulait à une vitesse largement excessive, a perdu la maîtrise de son véhicule et franchi la double ligne de sécurité, provoquant seul l'accident. C'est donc à juste titre que le Tribunal de première instance a tenu ces faits pour établis.</w:t>
      </w:r>
    </w:p>
    <w:p>
      <w:r>
        <w:t>Il en résulte que le défendeur a engagé sa pleine responsabilité de détenteur de véhicule à l'égard de B______. La condamnation de ce dernier est donc fondée dans son principe.</w:t>
      </w:r>
    </w:p>
    <w:p>
      <w:r>
        <w:t>S'agissant de l'action directe contre l'appelante, elle est prévue par les art. 63 et 65 al. 1 LCR, qui disposent que la victime lésée peut agir directement contre l'assureur en responsabilité civile obligatoire du véhicule en cause lorsque la responsabilité du détenteur est établie; dans les limites prévues par le contrat d'assurance, le lésé peut réclamer de l'assureur la totalité de son dommage. Il lui est d'ailleurs loisible d'actionner simultanément le détenteur du véhicule et l'assureur, lesquels seront alors solidairement tenus de lui réparer son préjudice (Keller, Haftplicht im Privatrecht, Band II, Berne, 1998, p. 172 et ss).</w:t>
      </w:r>
    </w:p>
    <w:p>
      <w:r>
        <w:t>L'appelante, assureur responsabilité civile du véhicule conduit par D______, a expressément admis la pleine responsabilité de ce dernier dans l'accident de circulation du 14 octobre 1989. B______ est donc fondé de lui réclamer, en même temps qu'à D______, la réparation du dommage subi.</w:t>
      </w:r>
    </w:p>
    <w:p>
      <w:r>
        <w:t>- 24 - Communiqué le présent arrêt aux parties par plis recommandés du ______</w:t>
      </w:r>
    </w:p>
    <w:p>
      <w:r>
        <w:rPr>
          <w:b/>
        </w:rPr>
        <w:t>E. 3</w:t>
      </w:r>
    </w:p>
    <w:p>
      <w:r>
        <w:t>e) Tort moral</w:t>
      </w:r>
    </w:p>
    <w:p>
      <w:r>
        <w:t>L'appelante, sans contester le principe d'une indemnisation du tort moral, considère cependant que la somme de 40'800 fr. versée à l'intimé par la CNA l'indemnise intégralement à ce titre, au regard du taux d'incapacité retenu par les experts; elle conclut donc à ce que l'indemnité pour tort moral allouée à l'intimé soit réduite au montant déjà versé par la CNA.</w:t>
      </w:r>
    </w:p>
    <w:p>
      <w:r>
        <w:t>L'intimé relève que l'indemnité versée par la CNA en vertu des art. 24 et LAA ne couvre pas tous les aspects du tort moral tel que défini par le CO et la doctrine y relative; en effet, elle ne prendrait pas en compte les aspects subjectifs du dommage tels que notamment la perte de la joie de vivre, le préjudice esthétique, la fatigabilité et les bouleversements causés par l'accident à la vie professionnelle et personnelle de B______. D'autre part, elle conteste la quotité de l'indemnité allouée par le premier juge qu'elle estime trop peu importante.</w:t>
      </w:r>
    </w:p>
    <w:p>
      <w:r>
        <w:t>Comme déjà énoncé aux chapitres traitant de la perte de gain, la Cour de céans rejette l'argumentation de l'appelante fondée sur le taux d'incapacité retenu par les experts; elle a déjà démontré, doctrine et jurisprudence à l'appui, qu'elle était libre de s'en écarter. Il n'y a dès lors pas lieu de revenir sur ce point.</w:t>
      </w:r>
    </w:p>
    <w:p>
      <w:r>
        <w:t>D'autre part, l'art. 43 al. 2 LAA énonce clairement que l'indemnité pour atteinte à l'intégrité et l'indemnité à titre de réparation morale sont de même nature; les allégués contraires de l'intimé sur ce point sont donc mal fondés.</w:t>
      </w:r>
    </w:p>
    <w:p>
      <w:r>
        <w:t>- 50 - Communiqué le présent arrêt aux parties par plis recommandés du ______</w:t>
      </w:r>
    </w:p>
    <w:p>
      <w:r>
        <w:t>La Cour de céans partage l'avis du Tribunal de première instance quant au principe d'une indemnisation du tort moral et au pouvoir d'appréciation du juge à ce propos; elle reprendra donc dans une large mesure la motivation du premier juge.</w:t>
      </w:r>
    </w:p>
    <w:p>
      <w:r>
        <w:t>Le juge peut, en tenant compte de circonstances particulières, allouer à la victime de lésions corporelles une indemnité équitable à titre de réparation morale (art. 47 CO; 62 al. 1 LCR). Cette indemnité a pour but exclusif de compenser le préjudice que représente une atteinte au bien-être moral. Le principe d'une indemnisation du tort moral et l'ampleur de la réparation dépendent d'une manière décisive de la gravité des souffrances psychiques et physiques et de la possibilité d'adoucir de façon sensible, par le versement d'une somme d'argent, la douleur morale qui en résulte (ATF 125 III 273; 123 III 315; 118 II 404).</w:t>
      </w:r>
    </w:p>
    <w:p>
      <w:r>
        <w:t>Le montant de l'indemnité satisfactoire, destinée à réparer un dommage qui ne peut que difficilement être réduit à une somme d'argent, échappe à toute fixation selon des critères mathématiques. L'indemnité allouée doit être équitable, et le juge dispose à cet égard d'un large pouvoir d'appréciation. Il en mesurera le montant en tenant compte principalement à la gravité de l'atteinte subie. Il pourra s'inspirer de précédents, en veillant à les adapter aux circonstances actuelles pour tenir compte de la dépréciation de la monnaie (ATF 125 III 273; 118 II 413).</w:t>
      </w:r>
    </w:p>
    <w:p>
      <w:r>
        <w:t>A titre d'exemple, pour des lésions très graves ayant provoqué des invalidités totales et définitives, la jurisprudence récente a alloué au lésé des indemnités de l'ordre de 100'000 fr. (ATF 123 III 315, 118 II 404; 108 II 432). En cas de lésions graves ayant laissé des séquelles physiques et psychiques importantes, des montants compris entre 20'000 fr. et 50'000 fr. ont été alloués il y a une dizaine d'années (ATF 116 II 733; 116 II 299; 112 II 120; 112 II 138; 108 II 64).</w:t>
      </w:r>
    </w:p>
    <w:p>
      <w:r>
        <w:t>- 51 - Communiqué le présent arrêt aux parties par plis recommandés du ______</w:t>
      </w:r>
    </w:p>
    <w:p>
      <w:r>
        <w:t>Les critères d'appréciation pouvant entrer en ligne de compte, outre la gravité de la faute du responsable, sont notamment les séquelles subies par le lésé, exprimées par le taux d'invalidité médicale, qu'elles soient physiques ou psychiques. Parmi ces dernières, on considérera en particulier la perte d'estime de soi et de joie de vivre, l'anxiété, l'état dépressif ou la fatigabilité résultant de l'accident. Les conséquences des lésions sur le bouleversement de la vie professionnelle, le trouble porté à la vie familiale, la vie sexuelle, les restrictions au mode de vie sont de même des facteurs d'appréciation. La durée de l'hospitalisation, le caractère douloureux des interventions chirurgicales sont également des critères pertinents (Brehm, 2ème op. cit., nos 165 à 183 ad art. 47, p. 389 ss; Keller, op. cit., p. 131 ss).</w:t>
      </w:r>
    </w:p>
    <w:p>
      <w:r>
        <w:t>En l'espèce, les lésions subies par l'intimé, exclusivement imputables à D______, sont objectivement d'une gravité certaine. En sus du traumatisme crânio-cérébral, les membres gauches de B______ ont été fracturés en six endroits. Le traitement de ces blessures a nécessité trois hospitalisations, dont la première a duré près d'un mois et demi, et de longues périodes de rééducation. Ce n'est que début 1992 que son état de santé s'est stabilisé; cette longue convalescence a nécessairement été douloureuse et désocialisante.</w:t>
      </w:r>
    </w:p>
    <w:p>
      <w:r>
        <w:t>Les blessures ont laissé des séquelles physiques et psychiques permanentes dont résulte une invalidité médico- théorique de 62,7% au moins. L'intimé tremble, boite, éprouve des céphalées et des douleurs articulaires persistantes, a des troubles de mémoire et de concentration. Il est incapable d'assumer le moindre effort physique, irritable et a perdu toute joie de vivre. Désormais en incapacité de gain totale et permanente, il mènera à l'avenir une vie d'assisté, alors qu'il était actif, volontaire au travail et soucieux d'améliorer les conditions de sa famille. Sur le plan personnel, son accident l'a rendu stérile, de sorte que le couple n'aura jamais le second enfant prévu.</w:t>
      </w:r>
    </w:p>
    <w:p>
      <w:r>
        <w:t>- 52 - Communiqué le présent arrêt aux parties par plis recommandés du ______</w:t>
      </w:r>
    </w:p>
    <w:p>
      <w:r>
        <w:t>L'ensemble de ces circonstances ont à l'évidence profondément altéré le mode d'existence et la qualité de vie de l'intimé. Il n'est pas excessif de considérer que son accident a brisé sa vie sociale et professionnelle; survenu de surcroît quelques mois seulement après la naissance de sa fille, il a de même gravement bouleversé sa vie familiale et l'a mis en limite d'une vie sociale digne de ce nom, et dans laquelle il pourrait s'intégrer.</w:t>
      </w:r>
    </w:p>
    <w:p>
      <w:r>
        <w:t>Au vu de ce qui précède, la Cour de céans estime justifié d'octroyer une indemnité à titre de réparation morale d'un montant supérieur à celle que lui avait alloué le Tribunal de première instance. En effet, le grief de l'intimé, qui s'explique mal pourquoi le premier juge s'est basé sur des jurisprudences vieilles de plus de dix ans pour évaluer le montant de la somme à allouer à l'intimé, alors qu'un arrêt récent fait état d'une somme largement supérieure, est fondé dans son principe. La Cour relève que dans l'ATF 123 III 315 précité, le Tribunal fédéral a confirmé l'allocation d'une somme de 120'000 fr. à titre de réparation morale à un jeune homme victime d'un accident de plongée l'ayant rendu tétraplégique à vie mais qui pouvait encore exercer une activité professionnelle, et ceci même si le lésé avait commis une légère faute concomitante. En l'espèce, l'intimé ne peut marcher sans douleurs que durant une heure et demie au maximum, et qui plus est à l'aide d'une canne; sa situation n'est donc pas fort éloignée à celle d'une personne tétraplégique. Par ailleurs, B______ n'a commis aucune faute. La Cour, liée par les conclusions de l'intimée, considère donc qu'il est à tout le moins justifié d'allouer à l'intimé la somme de 70'000 fr. à laquelle ce dernier avait conclu à titre de réparation morale. En dépit des contestations de l'intimé sur ce point, cette somme portera intérêts dès la date du présent arrêt, dans la mesure où elle a été déterminée sur la base de critères actuels (ATF 116 II 295; Brehm, 2ème op. cit., nos 93 ss ad art. 47 CO).</w:t>
      </w:r>
    </w:p>
    <w:p>
      <w:r>
        <w:t>- 53 - Communiqué le présent arrêt aux parties par plis recommandés du ______</w:t>
      </w:r>
    </w:p>
    <w:p>
      <w:r>
        <w:t>Comme le relève à juste titre le premier juge, il y a lieu enfin d'imputer sur cette somme le montant de 40'800 fr. alloué par la CNA à titre d'indemnité pour atteinte à l'intégrité corporelle de l'intimé. En effet, comme vu ci-dessus, l'art. 43 al. 2 lit. d dispose clairement que celle-ci est de même nature que la réparation morale; la CNA est donc subrogée dans les droits du lésé à concurrence du montant de l'indemnité versée à ce titre (art. 24, 25, 41 ss LAA; Keller, op. cit., p. 230 et 232). Cette dernière pourra agir contre l'appelante et le deuxième intimé si elle s'y estime fondée.</w:t>
      </w:r>
    </w:p>
    <w:p>
      <w:r>
        <w:t>Le solde de la réparation morale due à l'intimé s'élève ainsi à 29'200 fr.</w:t>
      </w:r>
    </w:p>
    <w:p>
      <w:r>
        <w:rPr>
          <w:b/>
        </w:rPr>
        <w:t>E. 4</w:t>
      </w:r>
    </w:p>
    <w:p>
      <w:r>
        <w:t>Emolument complémentaire</w:t>
      </w:r>
    </w:p>
    <w:p>
      <w:r>
        <w:t>Vu la complexité de la présente cause, l'ampleur de la procédure et l'importance du travail qu'elle a engendré, la Cour de céans fixe à 15'000 fr. le montant de l'émolument complémentaire prévu à l'art. 24 du Règlement fixant le tarif des greffes en matière civile.</w:t>
      </w:r>
    </w:p>
    <w:p>
      <w:r>
        <w:rPr>
          <w:b/>
        </w:rPr>
        <w:t>E. 5</w:t>
      </w:r>
    </w:p>
    <w:p>
      <w:r>
        <w:t>Dépens</w:t>
      </w:r>
    </w:p>
    <w:p>
      <w:r>
        <w:t>L'appelante ne s'exprime pas sur la question des dépens; l'intimé conteste la quotité retenue par le premier juge et revendique à nouveau l'intégralité de ses honoraires à ce titre, soit un montant global de 183'000 fr.</w:t>
      </w:r>
    </w:p>
    <w:p>
      <w:r>
        <w:t>La Cour de céans notera comme le premier juge que l'intimé obtient gain de cause sur le principe et que l'appelante, qui avait conclu au déboutement de sa partie adverse, succombe intégralement, tout comme le second intimé qui n'a pris aucune conclusion (Bertossa/Gaillard/Guyet/Schmidt, op. cit, notes 2 b/bb ad art. 132 LPC). L'appelante et B______ seront donc condamnés, solidairement, en tous les dépens de l'instance.</w:t>
      </w:r>
    </w:p>
    <w:p>
      <w:r>
        <w:t>- 54 - Communiqué le présent arrêt aux parties par plis recommandés du ______</w:t>
      </w:r>
    </w:p>
    <w:p>
      <w:r>
        <w:t>Ceux-ci comprendront une indemnité de procédure valant participation aux honoraires de conseil de l'intimé, dont le montant sera fixé au regard, notamment, de l'importance des montants en jeu, de la durée de l'instance et de la complexité de la matière (art. 181 al. 3 LPC). La Cour tiendra également compte, comme le relevait le premier juge, de la qualité très relative des écritures déposées et des correspondances adressées avant le début du litige, certains passages des écritures de l'intimé étant à peine intelligibles.</w:t>
      </w:r>
    </w:p>
    <w:p>
      <w:r>
        <w:t>* * * * *</w:t>
      </w:r>
    </w:p>
    <w:p>
      <w:r>
        <w:t>- 55 - Communiqué le présent arrêt aux parties par plis recommandés du ______</w:t>
      </w:r>
    </w:p>
    <w:p>
      <w:r>
        <w:t>P a r c e s m o t i f s L a C o u r :</w:t>
      </w:r>
    </w:p>
    <w:p>
      <w:r>
        <w:t>Statuant contradictoirement et par voie de procédure ordinaire</w:t>
      </w:r>
    </w:p>
    <w:p>
      <w:r>
        <w:t>A la forme :</w:t>
      </w:r>
    </w:p>
    <w:p>
      <w:r>
        <w:t>Déclare recevables l'appel principal et l'appel incident interjetés par A______ et B______ contre le jugement JTPI/12522/2000 rendu le 14 septembre 2000 par le Tribunal de première instance dans la cause C/17884/1996-11.</w:t>
      </w:r>
    </w:p>
    <w:p>
      <w:r>
        <w:t>Au fond :</w:t>
      </w:r>
    </w:p>
    <w:p>
      <w:r>
        <w:t>Annule ce jugement.</w:t>
      </w:r>
    </w:p>
    <w:p>
      <w:r>
        <w:t>Et, statuant à nouveau :</w:t>
      </w:r>
    </w:p>
    <w:p>
      <w:r>
        <w:t>1. Condamne A______ et D______ à payer à B______, à titre solidaire, les sommes de :</w:t>
      </w:r>
    </w:p>
    <w:p>
      <w:r>
        <w:t>a) 34'785 fr. avec intérêts à 5% dès le 13 juin 1996;</w:t>
      </w:r>
    </w:p>
    <w:p>
      <w:r>
        <w:t>b) 99'309 fr. avec intérêts à 5% dès le 31 décembre 1995;</w:t>
      </w:r>
    </w:p>
    <w:p>
      <w:r>
        <w:t>c) 342'337 fr. avec intérêts à 5% au 15 mars 2002;</w:t>
      </w:r>
    </w:p>
    <w:p>
      <w:r>
        <w:t>d) 86'534 fr. avec intérêts à 5% dès le 31 décembre 1995;</w:t>
      </w:r>
    </w:p>
    <w:p>
      <w:r>
        <w:t>e) 172'936 fr. avec intérêts à 5% au 15 mars 2002;</w:t>
      </w:r>
    </w:p>
    <w:p>
      <w:r>
        <w:t>f) 131'628 fr. avec intérêts à 5% dès le 31 décembre 1995;</w:t>
      </w:r>
    </w:p>
    <w:p>
      <w:r>
        <w:t>g) 157'860 fr. avec intérêts à 5% au 15 mars 2002;</w:t>
      </w:r>
    </w:p>
    <w:p>
      <w:r>
        <w:t>h) 29'200 fr. avec intérêts à 5% au 15 mars 2002.</w:t>
      </w:r>
    </w:p>
    <w:p>
      <w:r>
        <w:t>2. Condamne A______ et D______, à titre solidaire, en tous les dépens de première instance et d'appel, lesquels comprendront une indemnité de procédure de 50'000 fr. à titre de participation aux honoraires de conseil du demandeur.</w:t>
      </w:r>
    </w:p>
    <w:p>
      <w:r>
        <w:t>En ordonne la distraction en faveur de Me C______ qui affirme qu'ils lui sont dus.</w:t>
      </w:r>
    </w:p>
    <w:p>
      <w:r>
        <w:t>3. Condamne l'appelante au paiement d'un émolument complémentaire de 15'000 fr.</w:t>
      </w:r>
    </w:p>
    <w:p>
      <w:r>
        <w:t>4. Déboute les parties de toutes autres conclusions.</w:t>
      </w:r>
    </w:p>
    <w:p>
      <w:r>
        <w:t>Siégeant :</w:t>
      </w:r>
    </w:p>
    <w:p>
      <w:r>
        <w:t>Monsieur Stéphane Geiger, président; Monsieur Michel Criblet, juge; Me Vincent Jeanneret, juge suppléant; Madame Nathalie Deschamps,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