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ACJC/502/2013 vom 22. April 2013</w:t>
      </w:r>
    </w:p>
    <w:p>
      <w:r>
        <w:t>GE Cour de justice, 2013-04-22, FR</w:t>
      </w:r>
    </w:p>
    <w:p>
      <w:r>
        <w:rPr>
          <w:b/>
        </w:rPr>
        <w:t xml:space="preserve">Quelle: </w:t>
      </w:r>
      <w:r>
        <w:t>https://mcp.opencaselaw.ch/entscheid/ge_gerichte_ACJC_502_2013</w:t>
      </w:r>
    </w:p>
    <w:p>
      <w:r>
        <w:t>FR: GE_GERICHTE ACJC/502/2013 du 22 avril 2013</w:t>
      </w:r>
    </w:p>
    <w:p>
      <w:r>
        <w:t>IT: GE_GERICHTE ACJC/502/2013 del 22 aprile 2013</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 juge- ment notifié aux parties après le 1er janvier 2011, la présente cause est régie par le nouveau Code de procédure civile fédérale.</w:t>
      </w:r>
    </w:p>
    <w:p>
      <w:r>
        <w:rPr>
          <w:b/>
        </w:rPr>
        <w:t>E. 2</w:t>
      </w:r>
    </w:p>
    <w:p>
      <w:r>
        <w:t>L'appel est recevable contre les décisions finales et les décisions incidentes de première instance (art. 308 al. 1 let. a CPC), sous réserve des exceptions prévues à l'art. 309 CPC. Dans les affaires patrimoniales, l'appel est recevable si la valeur litigieuse au dernier état des conclusions est de 10'000 fr. au moins (art. 308 al. 2 CPC). Il est précisé qu'il s'agit des dernières conclusions de première instance (JEANDIN, in Code de procédure civile commenté, 2011, n. 13 ad art. 308). En vertu de l'art. 311 al. 1 CPC, l'appel, écrit et motivé, est introduit auprès de l'instance d'appel dans les 30 jours à compter de la notification de la décision motivée ou de la notification postérieure de la motivation. Il peut être formé pour violation de la loi (art. 310 let. a CPC) ou constatation inexacte des faits (art. 310 let. b CPC). En l'espèce, les conclusions en paiement de l'appelante s’élèvent à 9'760 fr. Les intérêts moratoire de 5% l'an n'entrent pas en considération dans la détermination de la valeur litigieuse (cf. arrêt du TF 4D_49/2010 du 20 mai 2010 consid. 1 à propos de l'art. 51 al. 3 LTF). La limite de 10'000 fr. n'étant pas atteinte, la voie de l'appel n'est pas ouverte.</w:t>
      </w:r>
    </w:p>
    <w:p>
      <w:r>
        <w:rPr>
          <w:b/>
        </w:rPr>
        <w:t>E. 3.1</w:t>
      </w:r>
    </w:p>
    <w:p>
      <w:r>
        <w:t>Le recours est recevable contre les décisions finales de première instance qui ne peuvent faire l'objet d'un appel (art. 319 let a CPC). La décision finale met fin au procès en déclarant irrecevable la demande déposée (art. 236 al. 1 CPC, cf. également art. 59 et 60 CP; JEANDIN, Code de procédure civile commenté, Bâle 2011, n. 4 ad art. 319 CPC et n. 7 ad art. 308 CPC). Le jugement du Tribunal des baux et loyers, déclarant la demande en paiement de la recourante irrecevable, faute de compétence à raison de la matière, constitue une décision finale, de sorte que la voie du recours est ouverte.</w:t>
      </w:r>
    </w:p>
    <w:p>
      <w:r>
        <w:rPr>
          <w:b/>
        </w:rPr>
        <w:t>E. 3.2</w:t>
      </w:r>
    </w:p>
    <w:p>
      <w:r>
        <w:t>Le délai de recours est de trente jours (art. 142 al. 3 et 321 al. 1 CPC). Outre les éléments visés à l'art. 221 CPC, le recours doit contenir une motivation juridique, ce qui suppose que le recourant doit discuter les motifs de la décision attaquée (art. 321 al. 1 CPC; REETZ/THEILER, Kommentar zur Schweizerischen Zivilprozessordnung, 2010, n. 36 ad art. 311 ZPO; JEANDIN, Code de procédure civile commenté, Bâle 2011, n. 3 ad art. 311 CPC). Le recours est recevable pour</w:t>
      </w:r>
    </w:p>
    <w:p>
      <w:r>
        <w:t>- 10/15 -</w:t>
      </w:r>
    </w:p>
    <w:p>
      <w:r>
        <w:t>C/29841/2010 violation du droit et/ou constatation manifestement inexacte des faits (art. 320 CPC). Déposé dans le délai et la forme requis, le recours est ainsi recevable.</w:t>
      </w:r>
    </w:p>
    <w:p>
      <w:r>
        <w:rPr>
          <w:b/>
        </w:rPr>
        <w:t>E. 3.3</w:t>
      </w:r>
    </w:p>
    <w:p>
      <w:r>
        <w:t>Les conclusions, les allégations de faits et les preuves nouvelles sont irreceva- bles (art. 326 al. 1 CPC). Cette règle stricte s'explique par le fait que l'instance de recours a pour mission de contrôler la conformité au droit de la décision entre- prise, mais pas de poursuivre la procédure de première instance (à ce sujet, CHAIX, Introduction au recours de la nouvelle procédure civile fédérale, in SJ 2009 II p. 267 ch. 17). La recourante a produit deux nouvelles pièces à l'appui de son chargé déposé le 31 janvier 2012, à savoir les pièces nos 26 et 27 concernant des certificats médicaux espagnols sur son état de santé produits devant la juridiction des prud'hommes. Quant à l’intimée, elle a également produit nouvellement, à l'appui de sa réponse du 5 mars 2012, la demande en paiement déposée par A______ devant la juridiction des prud'hommes le 31 janvier 2012. Ces moyens de preuve nouveaux et les allégations de faits s'y rapportant devront être déclarés irrecevables et écartés de la procédure.</w:t>
      </w:r>
    </w:p>
    <w:p>
      <w:r>
        <w:rPr>
          <w:b/>
        </w:rPr>
        <w:t>E. 4</w:t>
      </w:r>
    </w:p>
    <w:p>
      <w:r>
        <w:t>La demande en paiement ayant été formée par l'appelante le 6 décembre 2010, l'instance a été saisie avant l'entrée en vigueur du code de procédure fédérale (CPC). Selon l'art. 404 al. 1 CPC, les procédures en cours à l'entrée en vigueur de la présente loi sont régies par l’ancien droit de procédure jusqu'à la clôture de l'instance. Ainsi, la compétence de la juridiction des baux et loyers sera examinée sous l'angle des dispositions fixant la compétence à raison de la matière prévalant sous l'ancien droit de procédure cantonale, soit notamment l'art. 56M aLOJ.</w:t>
      </w:r>
    </w:p>
    <w:p>
      <w:r>
        <w:rPr>
          <w:b/>
        </w:rPr>
        <w:t>E. 5</w:t>
      </w:r>
    </w:p>
    <w:p>
      <w:r>
        <w:t>La compétence ratione materiae de la juridiction genevoise des baux et loyers est définie à l’art. 56M aLOJ. Selon cette disposition, le Tribunal des baux et loyers est compétent pour statuer sur tout litige relatif au contrat de bail à loyer ou au contrat de bail à ferme non agricole au sens des titres VIIIe et VIIIe bis du Code des obligations, portant sur une chose immobilière.</w:t>
      </w:r>
    </w:p>
    <w:p>
      <w:r>
        <w:rPr>
          <w:b/>
        </w:rPr>
        <w:t>E. 5.1</w:t>
      </w:r>
    </w:p>
    <w:p>
      <w:r>
        <w:t>La compétence doit être déterminée en fonction de la matière et de l'objet du litige. Si le litige porte sur la validité du congé et que l'aspect de la relation de travail revêt un caractère prépondérant, le Tribunal des baux et loyers doit se déclarer incompétent (ACJ/728/2008 du 16 juin 2008, consid. 2.1; ACJ/117/1992 du 4 mai 1992, P. c/SA X ; ACJ/171/1195 du 18 juin 1995, Fondation X. c/ A). Si l'aspect du bail est prépondérant, le Tribunal des baux et loyers sera compétent (ACJ/170/1992 du 19 juin 1992, M. c/ C.).</w:t>
      </w:r>
    </w:p>
    <w:p>
      <w:r>
        <w:t>- 11/15 -</w:t>
      </w:r>
    </w:p>
    <w:p>
      <w:r>
        <w:t>C/29841/2010 Le contrat de conciergerie constitue un contrat mixte qui combine des prestations du contrat individuel de travail et du contrat de bail à loyer, en sorte qu'elle est régie par le droit du contrat de travail pour ce qui a trait à l'activité de conciergerie et par le droit du bail pour la cession de l'usage du logement mis à disposition du concierge. C'est seulement pour la résiliation que le régime contractuel applicable dépendra de la prestation prépondérante (ATF 4C.160/2005; SJ 2005 I p. 563 et références citées).</w:t>
      </w:r>
    </w:p>
    <w:p>
      <w:r>
        <w:rPr>
          <w:b/>
        </w:rPr>
        <w:t>E. 5.2</w:t>
      </w:r>
    </w:p>
    <w:p>
      <w:r>
        <w:t>Le Tribunal fédéral s'est déjà prononcé dans la présente affaire à propos de la nature du contrat de conciergerie conclu entre les parties, le qualifiant de contrat composé (cf. ATF 4A.375/2008 du 18 novembre 2008, consid. 3.1.). Il y a égale- ment retenu la prépondérance des éléments du contrat de bail sur ceux du contrat de travail et confirmé la compétence, à raison de la matière, de la juridiction des baux et loyers pour connaître des prétentions découlant du contrat de bail et du congé notifié par avis officiel du 20 février 2006, confirmant ainsi l'arrêt de la Cour de céans rendu le 16 juin 2008 (cf. ACJC/728/2008 du 16 juin 2008, consid. 2). Le Tribunal des baux à loyers a ensuite tranché, de manière définitive, la question de la validité du congé notifié le 20 février 2006 à l'appelante dans son jugement du 29 octobre 2009 (cf. JTBL/1214/2009 du 29 octobre 2009) : il a retenu, en substance, que faute d'avoir été notifié à l'époux d'A______, le congé portant sur le logement familial était frappé de nullité. En ce sens, c'est à juste titre que les premiers juges ont retenu que leur compé- tence était purgée quant à la question de la résiliation survenue en 2006 et à l'exa- men de sa validité, ceci conformément à la jurisprudence en la matière. Ils n'étaient d'ailleurs saisis par les parties d'aucune autre question ou prétention à trancher.</w:t>
      </w:r>
    </w:p>
    <w:p>
      <w:r>
        <w:rPr>
          <w:b/>
        </w:rPr>
        <w:t>E. 5.3</w:t>
      </w:r>
    </w:p>
    <w:p>
      <w:r>
        <w:t>Bien que la résiliation ait été déclarée nulle, la recourante a néanmoins mis un terme à ses prestations de conciergerie, en restituant, le 9 mars 2006, les clés d'accès des locaux et du matériel nécessaires à l'exécution de la conciergerie. Les relations de travail entre les parties ont de fait pris fin à cette date. A ce titre, lors de l'audience de comparution personnelle du 23 novembre 2006, D______ a confirmé que sa mère était revenue à Genève pendant l'année 2006 qu'à deux reprises (soit une première fois en avril, pour deux mois, puis de nouveau en automne pour environ un mois) et qu'elle ne voulait plus assurer la conciergerie de l'immeuble, tout en souhaitant conserver son logement, alors qu'elle se trouvait en Galice. Dans l'esprit de la recourante, il existait une volonté claire de dissocier les élé- ments relevant du contrat de bail et ceux relevant du contrat de travail, en rompant tout lien de dépendance l'un avec l'autre. La situation s'apparente au cas particulier</w:t>
      </w:r>
    </w:p>
    <w:p>
      <w:r>
        <w:t>- 12/15 -</w:t>
      </w:r>
    </w:p>
    <w:p>
      <w:r>
        <w:t>C/29841/2010 de la fin de l'un des rapports de droit seulement. Selon une partie de la doctrine, il est parfaitement concevable qu'ensuite de la survenance de circonstances parti- culières, un contrat de conciergerie - prévoyant la mise à disposition d'un logement de service au concierge et la fourniture de prestation de travail par ce dernier - se transforme, tacitement, en une location ordinaire ou en un simple con- trat de travail. La première des hypothèses susvisées intervient notamment lorsque le concierge prend sa retraite ou devient incapable de travailler, tout en conservant l'usage de son logement (SIEGRIST, in 15e Séminaire sur le droit du bail, La conciergerie, Neuchâtel 2008, ch. 45, p. 100 et 101). Ainsi, dès cette date, seule la relation de bail, liée à l'occupation de l'appartement, a subsisté. Certes, l'activité de conciergerie a pris fin suite au congé notifié par l'intimée; toutefois, la volonté de la recourante, confirmée par son fils, était de mettre un terme à ses activités de conciergerie. C'est à l'aune de cette situation particulière qu'il convient d'examiner précisément quelle est la question juridique posée et quels sont les dispositions légales ou les principes juridiques auxquels il y a lieu de recourir pour trancher les prétentions de l'appelante réclamées dans sa demande déposée le 6 décembre 2010.</w:t>
      </w:r>
    </w:p>
    <w:p>
      <w:r>
        <w:rPr>
          <w:b/>
        </w:rPr>
        <w:t>E. 5.4</w:t>
      </w:r>
    </w:p>
    <w:p>
      <w:r>
        <w:t>5.4.1. Lorsqu'on se trouve confronté à un certain genre de contrat mixte ou com- posé, il n'est généralement pas possible d'en dégager un contrat-type aux éléments spécifiques clairs, ni de dire une fois pour toutes à quelles normes légales il doit être soumis. Dans chaque cas, il faut déterminer quelles règles doivent s'appliquer eu égard aux particularités de l'accord en cause. Il ne sera que rarement possible de le soumettre entièrement à un contrat réglé par la loi (contrat-type nommé), dès lors qu'en principe les éléments d'un contrat nommé ne l'emportent pas au point d'absorber tous les éléments qui lui sont étrangers. Il faudra donc examiner précisément quelle est la question juridique posée et quels sont les dispositions légales ou les principes juridiques auxquels il y a lieu de recourir pour la trancher. Dans la mesure où les éléments du contrat sont de nature différente, il se justifie de les soumettre à des règles de divers contrats nommés (par exemple contrat de travail, contrat de société, contrat de livraison, contrat de mandat, contrat de bail; ATF 118 II 157 consid. 2c p. 160/161 et les citations). Cela signifie que les diffé- rentes questions à résoudre - par exemple la résiliation du contrat - doivent être régies par les normes légales ou les principes juridiques qui sont adaptés à chacune d'elles; chaque question doit être toutefois soumise aux dispositions légales d'un seul et même contrat (ATF 118 II 157 consid. 3a p. 162; ATF 110 II 380 consid. 2 p. 382; ATF 109 II 462 consid. 3d p. 466); en effet, vu la dépen- dance réciproque des différents éléments du contrat mixte ou composé, il n'est pas possible que la même question soit réglée de manière différente pour chacun d'eux (ATF 118 II 157 consid. 3a p. 162). Pour déterminer quelles règles légales sont applicables à la question litigieuse, il convient de rechercher le "centre de gravité des relations contractuelles",</w:t>
      </w:r>
    </w:p>
    <w:p>
      <w:r>
        <w:t>- 13/15 -</w:t>
      </w:r>
    </w:p>
    <w:p>
      <w:r>
        <w:t>C/29841/2010 appréhendées comme un accord global unique. Il faut dès lors examiner quelle est la portée de chacun des éléments du contrat mixte ou composé eu égard à la situa- tion juridique globale. L'intérêt des parties, tel qu'il se déduit de la réglementation contractuelle qu'elles ont choisie, est déterminant pour décider de l'importance de tel ou tel élément par rapport à l'ensemble de l'accord (ATF 118 II 157 consid. 3a et les arrêts cités; ATF 5C.252/2004 du 30 mai 2005, consid. 7.1.1).</w:t>
      </w:r>
    </w:p>
    <w:p>
      <w:r>
        <w:rPr>
          <w:b/>
        </w:rPr>
        <w:t>E. 5.4.2</w:t>
      </w:r>
    </w:p>
    <w:p>
      <w:r>
        <w:t>Les prétentions élevées par la recourante consistent à réclamer, en raison de la résiliation abrupte et injustifiée du contrat de travail après 38 ans de service, le salaire dû jusqu'à la fin du délai de congé de trois mois, six mois à titre d'indem- nité pour licenciement immédiat injustifié, huit mois d'indemnité à raison des longs rapports de travail existants et une indemnité pour tort moral, vu le caractère choquant du licenciement. L'intimée, pour sa part, s'oppose à devoir le moindre montant à la recourante, lui reprochant un abandon abrupt de son emploi. Ces prétentions sont toutes fondées sur les dispositions topiques en matière de contrat de travail, notamment les articles 337 et ss CO, qui traitent de la problé- matique du congé immédiat et des prétentions pouvant être réclamées par l'em- ployé en cas de licenciement injustifié (art. 337c CO) ou par l'employeur en cas d'abandon abrupt de l'emploi par l'employé (art. 337d CO). Quant à l’art. 339 et ss CO, il règlemente la question de l'indemnité due à l'employé à raison des longs rapports de travail. Le sort de ces prétentions dépend directement des circonstances liées à la fin des rapports de travail, survenue fin février 2006 et a trait exclusivement à l'activité de conciergerie, à l'exclusion de tout lien avec la cession de l'usage du logement. Cela signifie que les différentes questions à résoudre doivent être régies par les normes légales ou les principes juridiques qui lui sont adaptés, à savoir le contrat de travail. Or, la Cour de céans n'est pas compétente, à raison de la matière, pour trancher des prétentions découlant exclusivement du contrat de travail, la juridiction des prud'hommes disposant d'une compétence exclusive en la matière. La détermi- nation de la prestation prépondérante du contrat mixte n'est déterminante que pour examiner le régime applicable à la résiliation. Dans la présente espèce, si le con- trat liant les parties était bien un contrat mixte, seule la relation de bail a subsisté, après que fin ait été mise au rapport de travail en février 2006, concrétisée par la remise des clés et du matériel nécessaires à la conciergerie le 9 mars 2006 par la recourante. En raison de ces circonstances particulières, le principe de prépon- dérance cède le pas à celui voulant que les prestations réciproques suivent les règles du contrat qui les régit. La Cour relèvera que, dans un arrêt CAPH/92/2005 du 26 avril 2005 relevant de la juridiction des prud'hommes, la prétention d'un concierge, qui sollicitait le</w:t>
      </w:r>
    </w:p>
    <w:p>
      <w:r>
        <w:t>- 14/15 -</w:t>
      </w:r>
    </w:p>
    <w:p>
      <w:r>
        <w:t>C/29841/2010 remboursement de la somme de 5'000 fr. à titre de frais de travaux réalisés dans l'appartement devant la juridiction des prud’hommes, a été déclarée irrecevable; la prétention revenait à réclamer une indemnité en raison d'une plus-value considé- rable résultant de la rénovation ou de la modification acceptées par le bailleur au sens de l'art. 260a CO; or, cette disposition relevait du droit du bail à loyer (arrêt de la Cour d’appel CAPH/92/2005 du 26 avril 2005, consid. 4.2). La recourante ne saurait donc être suivie lorsqu'elle invoque que les règles d'économie de procé- dure et d'unité du litige commandaient qu'un seul et même tribunal se prononce sur le complexe contractuel, quelles que soient les règles applicables au contrat; en effet, la compétence du tribunal saisi est examinée d'office par les juges et ne saurait être éludée par le principe d'unité du litige.</w:t>
      </w:r>
    </w:p>
    <w:p>
      <w:r>
        <w:rPr>
          <w:b/>
        </w:rPr>
        <w:t>E. 5.5</w:t>
      </w:r>
    </w:p>
    <w:p>
      <w:r>
        <w:t>Partant, le jugement entrepris sera confirmé en tant qu'il déclare les préten- tions de la recourante irrecevables.</w:t>
      </w:r>
    </w:p>
    <w:p>
      <w:r>
        <w:rPr>
          <w:b/>
        </w:rPr>
        <w:t>E. 6</w:t>
      </w:r>
    </w:p>
    <w:p>
      <w:r>
        <w:t>A teneur de l’art. 22 al. 1 LaCC, des frais ne sont pas dus dans les causes sou- mises à la juridiction des baux et loyers, étant rappelé que l'art. 116 al. 1 CPC autorise les cantons à prévoir des dispenses de frais dans d'autres litiges que ceux visés à l'art. 114 CPC.</w:t>
      </w:r>
    </w:p>
    <w:p>
      <w:r>
        <w:rPr>
          <w:b/>
        </w:rPr>
        <w:t>E. 7</w:t>
      </w:r>
    </w:p>
    <w:p>
      <w:r>
        <w:t>Comme déjà examiné ci-dessus, la valeur litigieuse se monte à 9'760 fr. (cf. consid. 2). Elle est inférieure à 15'000 fr. (art. 74 al. 1 lit. a LTF), de sorte que la voie du recours en matière civile n’est a priori pas ouverte (art. 72 al. 2 LTF). * * * * *</w:t>
      </w:r>
    </w:p>
    <w:p>
      <w:r>
        <w:t>- 15/15 -</w:t>
      </w:r>
    </w:p>
    <w:p>
      <w:r>
        <w:t>C/29841/2010 PAR CES MOTIFS, La Chambre des baux et loyers : A la forme : Déclare recevable le recours formé par A______ le 31 janvier 2012 contre le jugement JTBL/1477/2011 rendu le 14 décembre 2011 par le Tribunal des baux et loyers dans la cause C/29841/2010-3-D. Déclare irrecevables les pièces nos 26 et 27 produites par la recourante le 31 janvier 2012 et les allégués de fait nouveaux s'y rapportant, et les écarte de la procédure. Déclare irrecevable la pièces no 1 produite par l'intimée le 5 mars 2012 et les allégués de fait nouveaux s'y rapportant, et les écarte de la procédure. Au fond : Confirme le jugement entrepris. Déboute A______ des fins de son recours. Dit que la procédure est gratuite. Siégeant : Monsieur Pierre CURTIN, président; Madame Sylvie DROIN et Madame Daniela CHIABUDINI, juges; Monsieur Grégoire CHAMBAZ et Monsieur Alain MAUNOIR, juges assesseurs; Madame Maïté VALENTE, greffière. Le président : Pierre CURTIN</w:t>
      </w:r>
    </w:p>
    <w:p>
      <w:r>
        <w:t>La greffière : Maïté VALENTE</w:t>
      </w:r>
    </w:p>
    <w:p>
      <w:r>
        <w:t>Indication des voies et délais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15'000 fr. (cf. considérant 7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