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ACJC/49/2021 vom 18. Januar 2021</w:t>
      </w:r>
    </w:p>
    <w:p>
      <w:r>
        <w:t>GE Cour de justice, 2021-01-18, FR</w:t>
      </w:r>
    </w:p>
    <w:p>
      <w:r>
        <w:rPr>
          <w:b/>
        </w:rPr>
        <w:t xml:space="preserve">Quelle: </w:t>
      </w:r>
      <w:r>
        <w:t>https://mcp.opencaselaw.ch/entscheid/ge_gerichte_ACJC_49_2021</w:t>
      </w:r>
    </w:p>
    <w:p>
      <w:r>
        <w:t>FR: GE_GERICHTE ACJC/49/2021 du 18 janvier 2021</w:t>
      </w:r>
    </w:p>
    <w:p>
      <w:r>
        <w:t>IT: GE_GERICHTE ACJC/49/2021 del 18 gennaio 2021</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w:t>
      </w:r>
    </w:p>
    <w:p>
      <w:r>
        <w:t>- 3/5 -</w:t>
      </w:r>
    </w:p>
    <w:p>
      <w:r>
        <w:t>C/19344/2020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 19</w:t>
      </w:r>
    </w:p>
    <w:p>
      <w:r>
        <w:t>- 4/5 -</w:t>
      </w:r>
    </w:p>
    <w:p>
      <w:r>
        <w:t>C/19344/2020 novembre 2020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(art. 107 CPC). Il ne sera pour le surplus pas alloué de dépens (art. 105 al. 1 et 2 CPC), l'intimée ne s'étant pas déterminée. * * * * *</w:t>
      </w:r>
    </w:p>
    <w:p>
      <w:r>
        <w:t>- 5/5 -</w:t>
      </w:r>
    </w:p>
    <w:p>
      <w:r>
        <w:t>C/19344/2020 PAR CES MOTIFS, La Chambre civile : Annule le jugement JTPI/14354/2020 rendu le 19 novembre 2020 par le Tribunal de première instance dans la cause C/19344/2020-1 SFC. Renvoie la cause au Tribunal de première instance pour nouvelle décision. Déboute les parties de toutes autres conclusions. Sur les frais : Arrête les frais judiciaires du recours à 220 fr. et les met à la charge de l'Etat de Genève. Dit qu'il n'est pas alloué de dépens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