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ACJC/49/2019 vom 15. Januar 2019</w:t>
      </w:r>
    </w:p>
    <w:p>
      <w:r>
        <w:t>GE Cour de justice, 2019-01-15, FR</w:t>
      </w:r>
    </w:p>
    <w:p>
      <w:r>
        <w:rPr>
          <w:b/>
        </w:rPr>
        <w:t xml:space="preserve">Quelle: </w:t>
      </w:r>
      <w:r>
        <w:t>https://mcp.opencaselaw.ch/entscheid/ge_gerichte_ACJC_49_2019</w:t>
      </w:r>
    </w:p>
    <w:p>
      <w:r>
        <w:t>FR: GE_GERICHTE ACJC/49/2019 du 15 janvier 2019</w:t>
      </w:r>
    </w:p>
    <w:p>
      <w:r>
        <w:t>IT: GE_GERICHTE ACJC/49/2019 del 15 gennaio 2019</w:t>
      </w:r>
    </w:p>
    <w:p>
      <w:pPr>
        <w:pStyle w:val="Heading2"/>
      </w:pPr>
      <w:r>
        <w:t>Erwägungen</w:t>
      </w:r>
    </w:p>
    <w:p>
      <w:r>
        <w:rPr>
          <w:b/>
        </w:rPr>
        <w:t>E. 1.1</w:t>
      </w:r>
    </w:p>
    <w:p>
      <w:r>
        <w:t>Selon l'art. 308 al. 1 let. a CPC, l'appel est recevable contre les décisions finales et les décisions incidentes de première instance. Dans les affaires patrimoniales, l'appel est recevable si la valeur litigieuse au dernier état des conclusions est de 10'000 fr. au moins (art. 308 al. 2 CPC). Une décision est incidente lorsque l'instance de recours pourrait rendre une décision contraire qui mettrait fin au procès et permettrait de réaliser une économie de temps ou de frais appréciable (cf. art. 237 al. 1 CPC). La décision incidente est sujette à recours immédiat; elle ne peut être attaquée ultérieurement dans le recours contre la décision finale (art. 237 al. 2 CPC). La limitation de la procédure à des questions ou à des conclusions déterminées n'a pas d'incidence sur la valeur litigieuse (GSCHWEND, in Schweizerische Zivil- prozessordnung, Basler Kommentar, 3. Aufl., 2017, n. 17 ad art. 125 CPC).</w:t>
      </w:r>
    </w:p>
    <w:p>
      <w:r>
        <w:rPr>
          <w:b/>
        </w:rPr>
        <w:t>E. 1.2</w:t>
      </w:r>
    </w:p>
    <w:p>
      <w:r>
        <w:t>En l'espèce, le jugement entrepris est une décision incidente, dès lors qu'une décision contraire aurait pour effet de mettre fin au procès. Sur le fond, la demande porte sur le paiement de EUR 1'020'140, de sorte que la valeur litigieuse est supérieure à 10'000 fr. La voie de l'appel est dès lors ouverte. Interjeté dans les formes et le délai utile de 30 jours prévus par la loi (art. 145 al. 1 let. b, art. 311 al. 1 CPC), par une partie qui y a intérêt (art. 59 CPC), l'appel est recevable.</w:t>
      </w:r>
    </w:p>
    <w:p>
      <w:r>
        <w:rPr>
          <w:b/>
        </w:rPr>
        <w:t>E. 1.3</w:t>
      </w:r>
    </w:p>
    <w:p>
      <w:r>
        <w:t>La Cour revoit la cause avec un plein pouvoir d'examen (art. 310 CPC).</w:t>
      </w:r>
    </w:p>
    <w:p>
      <w:r>
        <w:rPr>
          <w:b/>
        </w:rPr>
        <w:t>E. 2</w:t>
      </w:r>
    </w:p>
    <w:p>
      <w:r>
        <w:t>L'appelante reproche au Tribunal d'avoir considéré que la demande formée par l'intimé le 24 octobre 2017 était recevable. Elle maintient que celui-ci a été définitivement débouté de toutes ses conclusions par arrêt de la Cour du</w:t>
      </w:r>
    </w:p>
    <w:p>
      <w:r>
        <w:rPr>
          <w:b/>
        </w:rPr>
        <w:t>E. 2.1</w:t>
      </w:r>
    </w:p>
    <w:p>
      <w:r>
        <w:t>Le tribunal n'entre en matière que sur les demandes et les requêtes qui satisfont aux conditions de recevabilité de l'action, notamment celles que le litige ne fasse pas déjà l'objet d'une décision antérieure entrée en force (art. 59 al. 1 et al. 2 let. e CPC).</w:t>
      </w:r>
    </w:p>
    <w:p>
      <w:r>
        <w:rPr>
          <w:b/>
        </w:rPr>
        <w:t>E. 2.1.1</w:t>
      </w:r>
    </w:p>
    <w:p>
      <w:r>
        <w:t>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Il n'est, en principe, pas nécessaire d'inclure la cause juridique dans la définition de l'objet du litige. L'identité des prétentions déduites en justice est déterminée par les</w:t>
      </w:r>
    </w:p>
    <w:p>
      <w:r>
        <w:t>- 5/7 -</w:t>
      </w:r>
    </w:p>
    <w:p>
      <w:r>
        <w:t>C/11664/2017 conclusions de la demande et les faits invoqués à l'appui de celle-ci, autrement dit par le complexe de faits sur lequel les conclusions se fondent. L'identité doit s'entendre d'un point de vue, non pas grammatical, mais matériel, si bien qu'une nouvelle prétention, quelle que soit sa formulation, aura un objet identique à la prétention déjà jugée si elle apparaît comme étant son contraire ou si elle était déjà contenue dans celle-ci, telle la prétention tranchée à titre principal dans le premier procès et revêtant la qualité de question préjudicielle dans le second (ATF 140 III 278 consid. 3.3 et les références citées). Pour déterminer si les prétentions portent sur le même objet, il y a lieu de se référer aux motifs du jugement, soit à ses constatations de fait et à ses considé- rants en droit, même si l'autorité de la chose jugée ne s'attache qu'au dispositif. Il est en effet parfois nécessaire de recourir aux motifs de la décision pour connaître le sens exact, la nature et la portée précise du dispositif (ATF 139 III 126 consid. 3.1; 128 III 191 consid. 4a; 125 III 8 consid. 3b; 123 III 16 consid. 2a; 121 III 474 consid. 4a; 116 II 738 consid. 2a in fine).</w:t>
      </w:r>
    </w:p>
    <w:p>
      <w:r>
        <w:rPr>
          <w:b/>
        </w:rPr>
        <w:t>E. 2.1.2</w:t>
      </w:r>
    </w:p>
    <w:p>
      <w:r>
        <w:t>Selon l'art. 84 CO, la partie qui fait valoir en Suisse une prétention qui doit être exprimée en monnaie étrangère a l'obligation de prendre des conclusions en paiement dans cette monnaie. Si elle requiert à tort une condamnation en francs suisses, sa demande doit être rejetée, ne serait-ce que parce que le débiteur ne peut être condamné à une autre prestation que celle qu'il doit (ATF 137 III 158 consid. 4.1, in JT 2013 II 287 et les réf. cit.; ATF 134 III 151 consid. 2.2, in JT 2010 I 124). Le juge ne peut ainsi s'écarter des conclusions d'une demande en paiement libellée en francs suisses et leur substituer une condamnation en monnaie étrangère, le choix de la monnaie de paiement prévu à l'art. 84 al. 2 CO n'étant offert qu'au seul débiteur (ATF 137 III 158 consid. 4.2; 134 III 151 consid. 2.2). Le rejet d'une demande en paiement au motif que les conclusions ont été libellées dans la mauvaise monnaie n'est constitutif ni de formalisme excessif (art. 29 al. 1 Cst. féd.) – puisque l'absence de conclusions conformes aux exigences de l'art. 84 CO n'est pas de nature formelle, mais relève du droit matériel –, ni d'arbitraire (art. 9 Cst. féd.), le demandeur pouvant agir à nouveau en prenant des conclusions conformes à la loi (arrêt du Tribunal fédéral 4A_206/2010 du 15 décembre 2010 consid. 5, non publié in ATF 137 III 158).</w:t>
      </w:r>
    </w:p>
    <w:p>
      <w:r>
        <w:rPr>
          <w:b/>
        </w:rPr>
        <w:t>E. 2.2</w:t>
      </w:r>
    </w:p>
    <w:p>
      <w:r>
        <w:t>En l'espèce, dans son arrêt du 24 octobre 2017, la Cour a confirmé le jugement du Tribunal qui déboutait l'intimé de l'ensemble de ses prétentions exprimées en francs suisses. Elle a clairement considéré qu'aucune somme n'était due à l'intimé dans cette monnaie, dès lors que le protocole transactionnel dont se prévalait celui-ci était caduc. L'autorité de la chose jugée ne s'attachait à l'évidence qu'à ces éléments, qui seuls ont été examinés au fond par la Cour.</w:t>
      </w:r>
    </w:p>
    <w:p>
      <w:r>
        <w:t>- 6/7 -</w:t>
      </w:r>
    </w:p>
    <w:p>
      <w:r>
        <w:t>C/11664/2017 S'il est exact que l'intimé a entendu porter devant la Cour l'entier du litige, et qu'il y a conclu subsidiairement au paiement de sommes exprimées en euros, force est de constater que la Cour ne s'est pas prononcée sur d'autres éléments que ceux décrits ci-dessus. Elle n'a en particulier envisagé qu'il puisse être fait droit aux prétentions de l'intimé en euros qu'à supposer que la créance d'origine dans cette monnaie soit fondée, sans trancher cette question. Elle n'est pas davantage entrée en matière sur les conclusions subsidiaires de l'intimé, qu'elle a jugées irrecevables. Dans ces conditions, et contrairement à ce que soutient l'appelante, le fait que la Cour ait débouté les parties de toutes autres conclusions dans le dispositif de l'arrêt susvisé ne permet pas de considérer qu'elle aurait statué sur d'autres points que le bien-fondé des prétentions de l'intimé en paiement de francs suisses, notamment qu'elle aurait également débouté ce dernier de ses conclusions subsidiaires tendant au paiement de sommes en euros. Examiné à la lumière des motifs de l'arrêt en question, conformément aux principes rappelés ci-dessus, ce point du dispositif ne souffre aucune autre interprétation. La longueur des écritures que l'intimé avait alors soumises à la Cour est par ailleurs dénuée de pertinence, comme celui-ci le relève aujourd'hui. Il s'ensuit que l'intimé, qui a été débouté de ses seules prétentions formulées en francs suisses, est libre de former en relation avec les mêmes faits une nouvelle demande tendant au paiement de sommes en euros, et ce sans se heurter à l'autorité de la chose jugée. Les deux demandes n'ont pas le même objet et les prétentions invoquées y sont matériellement différentes, au sens des principes rappelés ci-dessus. Le jugement entrepris, qui a déclaré recevable la seconde de ces demandes, sera en conséquence confirmé. 3. Les frais judiciaires de l'appel seront arrêtés à 2'000 fr. (art. 96 CPC, art. 36 RTFMC) et mis à la charge de l'appelante, qui succombe (art. 105 al. 1, art. 106 al. 1 CPC). Ils seront compensés avec l'avance de frais de même montant fournie par l'appelante, qui demeure acquise à l'Etat (art. 111 al. 1 CPC). L'appelante sera également condamnée à verser à l'intimé la somme de 2'000 fr. à titre de dépens d'appel (art. 105 al. 2, 11 al. 2 CPC; art. 85, 87 et 90 RTFMC), débours et TVA compris (art. 25 et 26 LaCC).</w:t>
      </w:r>
    </w:p>
    <w:p>
      <w:r>
        <w:t>- 7/7 -</w:t>
      </w:r>
    </w:p>
    <w:p>
      <w:r>
        <w:t>C/11664/2017 PAR CES MOTIFS, La Chambre civile : A la forme : Déclare recevable l'appel interjeté le 31 août 2018 par A______ AG contre le jugement JTPI/11799/2018 rendu le 2 août 2018 par le Tribunal de première instance dans la cause C/11664/2017-20. Au fond : Confirme ce jugement. Déboute les parties de toutes autres conclusions. Sur les frais : Arrête les frais judiciaires d'appel à 2'000 fr., les met à la charge de A______ AG et les compense avec l'avance de frais de même montant versée par celle-ci, qui demeure acquise à l'Etat de Genève. Condamne A______ AG à payer à C______ la somme de 2'000 fr. à titre de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r>
        <w:rPr>
          <w:b/>
        </w:rPr>
        <w:t>E. 7</w:t>
      </w:r>
    </w:p>
    <w:p>
      <w:r>
        <w:t>avril 2017 dans la cause C/1______/2013, de sorte que la présente demande se heurterait à l'autorité de la chose jugée.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