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ACJC/499/2020 vom 1. April 2020</w:t>
      </w:r>
    </w:p>
    <w:p>
      <w:r>
        <w:t>GE Cour de justice, 2020-04-01, FR</w:t>
      </w:r>
    </w:p>
    <w:p>
      <w:r>
        <w:rPr>
          <w:b/>
        </w:rPr>
        <w:t xml:space="preserve">Quelle: </w:t>
      </w:r>
      <w:r>
        <w:t>https://mcp.opencaselaw.ch/entscheid/ge_gerichte_ACJC_499_2020</w:t>
      </w:r>
    </w:p>
    <w:p>
      <w:r>
        <w:t>FR: GE_GERICHTE ACJC/499/2020 du 1 avril 2020</w:t>
      </w:r>
    </w:p>
    <w:p>
      <w:r>
        <w:t>IT: GE_GERICHTE ACJC/499/2020 del 1 aprile 2020</w:t>
      </w:r>
    </w:p>
    <w:p>
      <w:pPr>
        <w:pStyle w:val="Heading2"/>
      </w:pPr>
      <w:r>
        <w:t>Volltext</w:t>
      </w:r>
    </w:p>
    <w:p>
      <w:r>
        <w:t>Le présent arrêt est communiqué aux parties, ainsi qu'à l'Office des faillites, à l'Office des poursuites et au Registre foncier, par plis recommandés du 03.04.2020.</w:t>
      </w:r>
    </w:p>
    <w:p>
      <w:r>
        <w:t>REPUBLIQUE ET</w:t>
      </w:r>
    </w:p>
    <w:p>
      <w:r>
        <w:t>CANTON DE GENEVE POUVOIR JUDICIAIRE C/28871/2019 ACJC/499/2020 ARRÊT DE LA COUR DE JUSTICE Chambre civile DU MERCREDI 1ER AVRIL 2020</w:t>
      </w:r>
    </w:p>
    <w:p>
      <w:r>
        <w:t>Entre A______ SA, sise c/o Notter Mégevand &amp; Associés, avocats, avenue de la Roseraie 76A, 1205 Genève, appelante d'un jugement rendu par la 8ème Chambre du Tribunal de première instance de ce canton le 20 janvier 2020, comparant par Me Claude Bretton-Chevallier, avocate, en l'étude de laquelle elle fait élection de domicile, et OFFICE DU REGISTRE DU COMMERCE, p.a. Mme B______, Substitut, rue du Puits-Saint-Pierre 4, 1204 Genève, intimé, comparant en personne.</w:t>
      </w:r>
    </w:p>
    <w:p>
      <w:r>
        <w:t>- 2/4 -</w:t>
      </w:r>
    </w:p>
    <w:p>
      <w:r>
        <w:t>C/28871/2019 Vu, le jugement JTPI/1056/2020 rendu le 20 janvier 2020, aux termes duquel le Tribunal de première instance, à la requête du Registre du commerce, a prononcé la dissolution de la société A______ SA et ordonné sa liquidation par voie de faillite, au motif que la société, qui présentait une carence dans son organisation légale, n'avait pas rétabli celle-ci dans les délais impartis; Vu l'appel interjeté en temps utile à l'encontre de cette décision par la société dissoute, laquelle déclare avoir effectué les démarches nécessaires pour que sa situation légale soit rétablie; Attendu, EN FAIT, que le Registre du commerce a confirmé à la Cour de céans, par courrier du 18 mars 2020, être en possession des documents nécessaires à cet égard;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w:t>
      </w:r>
    </w:p>
    <w:p>
      <w:r>
        <w:t>en cours de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n'ayant répondu au recours que par un simple courrier (art. 95 al. 3 let. c CPC). * * * * *</w:t>
      </w:r>
    </w:p>
    <w:p>
      <w:r>
        <w:t>- 3/4 -</w:t>
      </w:r>
    </w:p>
    <w:p>
      <w:r>
        <w:t>C/28871/2019 PAR CES MOTIFS, La Chambre civile : A la forme : Déclare recevable l'appel interjeté par A______ SA contre le jugement JTPI/1056/2020 rendu le 20 janvier 2020 par le Tribunal de première instance dans la cause C/28871/2019-8. Au fond : Annule le jugement entrepris. Cela fait, statuant à nouveau : Dit qu'il n'y a pas lieu à dissolution de la société A______ SA. Déboute les parties de toutes autres conclusions. Sur les frais : Met à la charge de A______ SA les frais judiciaires des deux instances, arrêtés à 1'200 fr. et compensés à due concurrence avec l'avance de 600 fr. versée par cette dernière, qui reste acquise à l'Etat de Genève. Condamne A______ SA à verser à l'Etat de Genève, soit pour lui les Services financiers du Pouvoir judiciaire, le solde de 600 fr.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- 4/4 -</w:t>
      </w:r>
    </w:p>
    <w:p>
      <w:r>
        <w:t>C/28871/2019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