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ACJC/498/2022 vom 11. April 2022</w:t>
      </w:r>
    </w:p>
    <w:p>
      <w:r>
        <w:t>GE Cour de justice, 2022-04-11, FR</w:t>
      </w:r>
    </w:p>
    <w:p>
      <w:r>
        <w:rPr>
          <w:b/>
        </w:rPr>
        <w:t xml:space="preserve">Quelle: </w:t>
      </w:r>
      <w:r>
        <w:t>https://mcp.opencaselaw.ch/entscheid/ge_gerichte_ACJC_498_2022</w:t>
      </w:r>
    </w:p>
    <w:p>
      <w:r>
        <w:t>FR: GE_GERICHTE ACJC/498/2022 du 11 avril 2022</w:t>
      </w:r>
    </w:p>
    <w:p>
      <w:r>
        <w:t>IT: GE_GERICHTE ACJC/498/2022 del 11 aprile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- 11/15 -</w:t>
      </w:r>
    </w:p>
    <w:p>
      <w:r>
        <w:t>C/10309/2018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1'025 fr. par mois. En prenant en compte la période de protection de trois ans dès la fin de la procédure judiciaire, la valeur litigieuse est largement supérieure à 10'000 fr.</w:t>
      </w:r>
    </w:p>
    <w:p>
      <w:r>
        <w:rPr>
          <w:b/>
        </w:rPr>
        <w:t>E. 1.3</w:t>
      </w:r>
    </w:p>
    <w:p>
      <w:r>
        <w:t>L'appel a été interjeté dans le délai et suivant la forme prescrits par la loi (art. 130, 131, 142 al. 3, 145 al. 1 let. b,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d'avoir retenu qu'elle avait violé son devoir de diligence en déployant un comportement agressif envers les voisins, en particulier envers les enfants, en l'absence de témoignages valides et de constatations directes d'adultes quant au fait qu'elle s'en serait pris physiquement aux mineurs, alors que certains témoins avaient indiqué que les plaintes avaient été rédigées par d'autres voisins et qu'ils n'avaient pas tous signé les courriers sur lesquels figuraient leurs noms, et alors que la situation avait favorablement évolué avant la notification des congés. De surcroît, elle se prévaut du fait que les congés notifiés consacrent une disproportion grossière des intérêts en présence et devraient, de ce fait, être annulés.</w:t>
      </w:r>
    </w:p>
    <w:p>
      <w:r>
        <w:rPr>
          <w:b/>
        </w:rPr>
        <w:t>E. 2.1</w:t>
      </w:r>
    </w:p>
    <w:p>
      <w:r>
        <w:t>Aux termes de l'art. 271 al. 1 CO, le congé est annulable lorsqu'il contrevient aux règles de la bonne foi. Cette disposition constitue un cas d'application de l'art. 2 al. 1 CC, selon lequel chacun est tenu d'exercer ses obligations selon les règles de la bonne foi. Pour que le congé soit annulable, il n'est pas nécessaire que l'attitude de la partie qui résilie</w:t>
      </w:r>
    </w:p>
    <w:p>
      <w:r>
        <w:t>- 12/15 -</w:t>
      </w:r>
    </w:p>
    <w:p>
      <w:r>
        <w:t>C/10309/2018 le bail puisse être qualifiée d'abus manifeste de droit au sens de l'article 2 al. 2 CC (LACHAT, Le bail à loyer, Lausanne, 2019, p. 959). L'art. 271 al. 1 CO est une norme générale, dont l'application présuppose un examen de cas en cas, eu égard à l'historique de l'affaire, à ses particularités et aux motifs invoqués à l'appui du congé. Une résiliation qui ne répond à aucun intérêt objectif, sérieux et digne de protection, qui consacre une attitude déloyale ou qui résulte d'une disproportion manifeste entre les intérêts en présence tombe sous le coup de l'art. 271 al. 1 CO (LACHAT, op. cit., p. 959). Pour être conformes aux règles de la bonne foi, les motifs du congé doivent être vrais (LACHAT, op. cit., p. 955). Le bailleur est lié par les motifs qu'il a donnés, mais il peut toujours compléter sa motivation ultérieurement, étant précisé que, pour déterminer la validité de la résiliation, le juge doit se placer au moment où celle-ci a été notifiée (CONOD, Droit du bail à loyer et à ferme, 2ème éd. 2017, n. 41 et 47 ad art. 271 CO). S'agissant de la disproportion manifeste des intérêts en présence, la doctrine soutient qu'en règle générale les congés qui visent à sanctionner une violation d'une certaine importance ou répétée du contrat par le locataire ne sont pas abusifs. Le bailleur peut valablement donner le congé ordinaire en raison de violations répétées du devoir de diligence alors que les conditions de l'art. 257f al. 3 CO ne sont pas toutes réalisées, notamment par exemple parce que le maintien du bail n'est pas insupportable (LACHAT, op. cit., p. 963). Le but de la règlementation des art. 271 et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(ACJC/257/2018 du 5 mars 2018 consid. 2.1; ACJC/247/2020 du 10 février 2020 consid. 5.2). L'art. 257 f al. 1 et 2 CO énonce que le locataire est tenu d'user de la chose avec le soin nécessaire. S'il s'agit d'un immeuble, il est tenu d'avoir pour les personnes habitant la maison et les voisins les égards qui leur sont dus. Ainsi, le locataire doit respecter la vie privée et la tranquillité de ses voisins. Il doit en particulier s'abstenir de faire du bruit, de se comporter de manière contraire aux mœurs, de violer le droit pénal en injuriant ses voisins ou en leur occasionnant des lésions corporelles, et de troubler la paix de l'immeuble (non- respect des règles sur les heures de repos). Le locataire doit collaborer à</w:t>
      </w:r>
    </w:p>
    <w:p>
      <w:r>
        <w:t>- 13/15 -</w:t>
      </w:r>
    </w:p>
    <w:p>
      <w:r>
        <w:t>C/10309/2018 l'utilisation harmonieuse des parties communes de l'immeuble et doit plus généralement se comporter de manière raisonnable par rapport à la chose louée ou à ses voisins (LACHAT, op. cit., p. 62 et 884).</w:t>
      </w:r>
    </w:p>
    <w:p>
      <w:r>
        <w:rPr>
          <w:b/>
        </w:rPr>
        <w:t>E. 2.2</w:t>
      </w:r>
    </w:p>
    <w:p>
      <w:r>
        <w:t>En l'espèce, les nombreuses auditions de témoins menées par le Tribunal ont établi que l'appelante adoptait, depuis plusieurs années, un comportement agressif envers son voisinage, plusieurs des voisins ayant peur d'elle et l'évitant. Tous les voisins entendus ont rapporté des épisodes de cris, insultes ou menaces, avec une propension particulière de l'appelante de s'en prendre aux enfants jouant dans l'espace commun aux immeubles. S'il est certes vrai qu'aucun témoin n'a pu confirmer avoir vu l'appelante s'en prendre physiquement à des enfants, hormis G______ qui a relaté un épisode où elle l'avait vue saisir un enfant par le col de sa veste, il n'en demeure pas moins que les propos déplacés à leur encontre et à l'encontre d'autres voisins, leur connotation parfois raciste et scabreuse, ont cours de longue date et étaient d'actualité avant les résiliations de bail. Il va de même des jets de seaux d'eau ou d'autres matières par le balcon de l'appelante, attestés par plusieurs voisins. De plus, l'îlotier de la police a déclaré que l'appelante tenait de manière générale des propos stériles sur les étrangers et que le ton des entretiens téléphoniques était houleux, de sorte qu'il devait y mettre fin, ce qui confirme une propension de l'appelante à faire usage de propos inadéquats. Nombre de parents d'enfants ont par ailleurs exprimé leur désarroi à ce que l'appelante filme leurs enfants sans leur accord. Le fait que le comportement de l'appelante n'avait pas suscité de reproches durant de nombreuses années n'est pas déterminant, dans la mesure où il est prouvé que la situation était problématique depuis 2015. Même si les divers témoins n'ont pas relevé la même fréquence des comportements désobligeants de leur voisine, il n'en demeure pas moins qu'ils ont tous rapporté des épisodes de cris, injures et débordements de sa part depuis plusieurs années. En outre, le fait que certains voisins, avec du recul et du fait que leurs enfants avaient grandi, ont tempéré leurs reproches ne remet pas en cause la réalité des excès commis par l'appelante. Même si certains témoins ont indiqué ne pas avoir signé tous les courriers sur lesquels apparaissaient leurs noms et si une influence de certains voisins a pu exister ou si certains propos ont pu être exagérés, les témoins concernés ont pour l'essentiel indiqué être d'accord avec le contenu des plaintes.</w:t>
      </w:r>
    </w:p>
    <w:p>
      <w:r>
        <w:t>- 14/15 -</w:t>
      </w:r>
    </w:p>
    <w:p>
      <w:r>
        <w:t>C/10309/2018 Quant à l'argument de l'évolution favorable de la situation alléguée par l'appelante, celle-ci ne peut être confirmée puisque, lors de la notification des congés, de nouvelles plaintes pénales venaient d'être déposées auprès du Ministère public et plusieurs courriers de doléances avaient été adressés à la régie, démontrant que les voisins étaient excédés. Les faits reprochés à l'appelante contreviennent au devoir d'égards dû au voisinage, de sorte que le Tribunal a à juste titre retenu que l'appelante avait violé son devoir de diligence et a validé le congé, son motif étant avéré. Enfin, l'appelante ne saurait se prévaloir du fait que le congé notifié consacrerait une disproportion grossière des intérêts en présence, malgré qu'elle est âgée et a des revenus limités, compte tenu du manque avéré d'égards envers ses voisins constituant des violations répétées et importantes de son devoir de diligence, qui plus est dans la durée. Malgré la situation difficile de l'appelante et son âge avancé, le congé ne saurait ainsi être annulé. Le jugement entrepris sera en conséquence confirmé.</w:t>
      </w:r>
    </w:p>
    <w:p>
      <w:r>
        <w:rPr>
          <w:b/>
        </w:rPr>
        <w:t>E. 3</w:t>
      </w:r>
    </w:p>
    <w:p>
      <w:r>
        <w:t>A teneur de l'art. 22 al. 1 LaCC, il n'est pas prélevé de frais dans les causes soumises à la juridiction des baux et loyers (ATF 139 III 182 consid. 2.6). * * * * *</w:t>
      </w:r>
    </w:p>
    <w:p>
      <w:r>
        <w:t>- 15/15 -</w:t>
      </w:r>
    </w:p>
    <w:p>
      <w:r>
        <w:t>C/10309/2018 PAR CES MOTIFS, La Chambre des baux et loyers :</w:t>
      </w:r>
    </w:p>
    <w:p>
      <w:r>
        <w:t>A la forme : Déclare recevable l'appel interjeté le 16 août 2021 par A______ contre le chiffre 3 du dispositif du jugement JTBL/517/2021 rendu le 14 juin 2021 par le Tribunal des baux et loyers dans la cause C/10309/2018-4-OSB. Au fond : Confirme ce jugement. Dit que la procédure est gratuite. Déboute les parties de toutes autres conclusions. Siégeant : Monsieur Ivo BUETTI, président; Madame Nathalie LANDRY-BARTHE et Madame Fabienne GEISINGER-MARIETHOZ, juges; Madame Elodie SKOULIKAS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