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ACJC/498/2017 vom 5. Oktober 2016</w:t>
      </w:r>
    </w:p>
    <w:p>
      <w:r>
        <w:t>GE Cour de justice, 2016-10-05, FR</w:t>
      </w:r>
    </w:p>
    <w:p>
      <w:r>
        <w:rPr>
          <w:b/>
        </w:rPr>
        <w:t xml:space="preserve">Quelle: </w:t>
      </w:r>
      <w:r>
        <w:t>https://mcp.opencaselaw.ch/entscheid/ge_gerichte_ACJC_498_2017</w:t>
      </w:r>
    </w:p>
    <w:p>
      <w:r>
        <w:t>FR: GE_GERICHTE ACJC/498/2017 du 5 octobre 2016</w:t>
      </w:r>
    </w:p>
    <w:p>
      <w:r>
        <w:t>IT: GE_GERICHTE ACJC/498/2017 del 5 ottobre 2016</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de 10'000 fr. au moins (art. 308 al. 2 CPC). Le délai pour l’introduction de l'appel est de trente jours à compter de la notification de la décision motivée (art. 311 al. 1 CPC).</w:t>
      </w:r>
    </w:p>
    <w:p>
      <w:r>
        <w:t>Interjeté en temps utile, selon la forme prescrite par la loi, et portant sur une valeur litigieuse de 10'000 fr., l'appel est recevable à la forme.</w:t>
      </w:r>
    </w:p>
    <w:p>
      <w:r>
        <w:rPr>
          <w:b/>
        </w:rPr>
        <w:t>E. 1.2</w:t>
      </w:r>
    </w:p>
    <w:p>
      <w:r>
        <w:t>L'appel peut être formé pour violation du droit ou pour constatation inexacte des faits (art. 310 CPC). La Cour revoit la cause avec un plein pouvoir d'examen; elle statue dans les limites des conclusions prises en appel (art. 315 al. 1 CPC).</w:t>
      </w:r>
    </w:p>
    <w:p>
      <w:r>
        <w:rPr>
          <w:b/>
        </w:rPr>
        <w:t>E. 2.1</w:t>
      </w:r>
    </w:p>
    <w:p>
      <w:r>
        <w:t>Selon l'article 317 al. 1 CPC, les faits et moyens de preuve nouveaux ne sont pris en compte qu'aux conditions suivantes : a. ils sont invoqués ou produits sans</w:t>
      </w:r>
    </w:p>
    <w:p>
      <w:r>
        <w:t>- 8/16 -</w:t>
      </w:r>
    </w:p>
    <w:p>
      <w:r>
        <w:t>C/21685/2015 retard; b. ils ne pouvaient être invoqués ou produits devant la première instance bien que la partie qui s'en prévaut ait fait preuve de la diligence requise.</w:t>
      </w:r>
    </w:p>
    <w:p>
      <w:r>
        <w:rPr>
          <w:b/>
        </w:rPr>
        <w:t>E. 2.2</w:t>
      </w:r>
    </w:p>
    <w:p>
      <w:r>
        <w:t>En l'espèce, l'appelant allègue pour la première fois devant la Cour que D______ l'aurait, dans une note de service adressée à la Cheffe de la police le 16 novembre 2012, diffamé en jetant sur lui le soupçon d'être responsable de la disparition d'un kilo d'héroïne des locaux de la brigade des chiens, peu après son départ.</w:t>
      </w:r>
    </w:p>
    <w:p>
      <w:r>
        <w:t>L'appelant allègue avoir développé cet élément, qui n'est pas expressément mentionné dans sa demande, dans sa plaidoirie finale, ce qui est contesté par l'intimé. Ni le jugement querellé, qui reproduit de manière circonstanciée les arguments des parties lors des plaidoiries finales, ni le procès-verbal de l'audience ne confirment les affirmations de l'appelant sur ce point.</w:t>
      </w:r>
    </w:p>
    <w:p>
      <w:r>
        <w:t>Comme le relève à juste titre l'intimé, si l'appelant entendait que les faits précités soient portés au procès-verbal, il lui incombait de le demander expressément au moment de l'audience, étant souligné qu'il avait en outre la possibilité de demander au besoin, la rectification du procès-verbal (art. 235 CPC).</w:t>
      </w:r>
    </w:p>
    <w:p>
      <w:r>
        <w:t>L'allégation nouvelle selon laquelle D______ aurait, dans une note de service, jeté sur lui le soupçon d'être responsable de la disparition d'un kilo d'héroïne des locaux de la brigade des chiens, peu après son départ aurait ainsi pu être formulée devant le Tribunal et est par conséquent irrecevable en appel.</w:t>
      </w:r>
    </w:p>
    <w:p>
      <w:r>
        <w:rPr>
          <w:b/>
        </w:rPr>
        <w:t>E. 3</w:t>
      </w:r>
    </w:p>
    <w:p>
      <w:r>
        <w:t>Le Tribunal a retenu que les prétentions de l'appelant étaient prescrites en application de l'art. 60 al. 1 CO. Le délai de prescription avait commencé à courir le 19 décembre 2013, date du dépôt par l'appelant de sa demande d'ouverture d'investigation par le Groupe de confiance; il connaissait à cette date tous les éléments essentiels pour fonder une demande en réparation de son tort moral puisque tant la nature des actes illicites (actes de mobbing et atteinte à la personnalité) que les auteurs de ceux-ci et l'ampleur de l'atteinte à la santé consécutive à ses agissements lui étaient suffisamment connus pour motiver une telle demande. L'échéance du délai de prescription d'un an prévu par la loi était intervenue le 19 décembre 2014 sans avoir été valablement interrompu.</w:t>
      </w:r>
    </w:p>
    <w:p>
      <w:r>
        <w:t>L'appelant ne conteste pas le raisonnement du Tribunal fondé sur l'art. 60 al. 1 CO mais fait valoir que celui-ci aurait également dû examiner la question de la prescription sous l'angle de l'art. 60 al. 2 CO, lequel prévoit que la prescription pénale est applicable lorsque les dommages intérêts dérivent d'un acte pénalement punissable. B______ et D______ s'étaient rendus coupables de diffamation, voire d'injures à son égard en disant devant des tiers en octobre 2012 en parlant de lui : "La Corée du Nord n'est plus là, nous pouvons donc repartir sur une page blanche" et, au début 2013 que "le cancer avait été réglé et qu'il restait deux ou trois métastases à liquider".</w:t>
      </w:r>
    </w:p>
    <w:p>
      <w:r>
        <w:t>- 9/16 -</w:t>
      </w:r>
    </w:p>
    <w:p>
      <w:r>
        <w:t>C/21685/2015 Le harcèlement psychologique qu'il avait subi réalisait en outre les éléments constitutifs de l'infraction de lésions corporelles simples.</w:t>
      </w:r>
    </w:p>
    <w:p>
      <w:r>
        <w:rPr>
          <w:b/>
        </w:rPr>
        <w:t>E. 3.1</w:t>
      </w:r>
    </w:p>
    <w:p>
      <w:r>
        <w:t>La responsabilité de l'ETAT DE GENEVE est régie par la loi sur la responsabilité de l'Etat et des communes (LREC) du 24 février 1989. Selon l'art. 2 al. 1 LREC, l'ETAT DE GENEVE est tenu de réparer le dommage résultant pour des tiers d'actes illicites commis soit intentionnellement, soit par négligence ou imprudence par leurs fonctionnaires ou agents dans l'accomplissement de leur travail. Les lésés n'ont pas d'action directe envers les fonctionnaires ou agent (al. 2). La LREC opère à cet égard un renvoi aux règles générales du code civil suisse, applicables à titre de droit cantonal supplétif (art. 6 LREC). Elle renvoie ainsi en particulier aux délais de prescription de l'action délictuelle de droit privé prévus à l'art. 60 CO (ATF 112 II 231 consid. 3e; ATF 122 III 101 consid. 2; arrêt du Tribunal fédéral 2C.1/1998 du 21 février 2000, consid. 2b; 4P.9/2002 du 19 mars 2002 consid. 2b; TANQUEREL, La responsabilité de l'Etat sous l'angle de la loi genevoise sur la responsabilité de l'Etat et des communes du 24 février 1989, SJ 1997, p. 365). Ce renvoi concerne également le délai prévu par l'art. 60 al. 2 CO (arrêt du Tribunal fédéral 4P.9/2002 du 19 mars 2002 consid. 2b).</w:t>
      </w:r>
    </w:p>
    <w:p>
      <w:r>
        <w:rPr>
          <w:b/>
        </w:rPr>
        <w:t>E. 3.2</w:t>
      </w:r>
    </w:p>
    <w:p>
      <w:r>
        <w:t>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civile (al. 2). Il appartient au responsable recherché de faire valoir la prescription par voie d'exception. Le responsable doit aussi prouver les faits à l'appui de cette exception (WERRO, Commentaire romand, 2012, n. 3, ad art. 60 CO).</w:t>
      </w:r>
    </w:p>
    <w:p>
      <w:r>
        <w:rPr>
          <w:b/>
        </w:rPr>
        <w:t>E. 3.3</w:t>
      </w:r>
    </w:p>
    <w:p>
      <w:r>
        <w:t>En l'espèce, contrairement à ce que fait valoir l'intimé, le renvoi opéré par la LREC vise également l'art. 60 al. 2 CO, de sorte que cette disposition est bien applicable in casu. Dans la mesure où le tribunal applique le droit d'office (art. 57 CPC), il convient d'examiner la question de savoir si les dommages intérêts réclamés par l'appelant dérivent d'un acte punissable pénalement soumis à une prescription plus longue que celle d'un an, acquise en l'espèce, ce qui n'est plus contesté en appel.</w:t>
      </w:r>
    </w:p>
    <w:p>
      <w:r>
        <w:t>- 10/16 -</w:t>
      </w:r>
    </w:p>
    <w:p>
      <w:r>
        <w:t>C/21685/2015</w:t>
      </w:r>
    </w:p>
    <w:p>
      <w:r>
        <w:rPr>
          <w:b/>
        </w:rPr>
        <w:t>E. 4.1</w:t>
      </w:r>
    </w:p>
    <w:p>
      <w:r>
        <w:t>Pour que l'art. 60 al. 2 CO entre en ligne de compte, il faut qu'un acte punissable ait été commis et que celui-ci soit en relation de causalité adéquate avec le préjudice donnant lieu à l'action civile. Les faits à la base de l'action civile et de la poursuite pénale doivent découler du même acte, le bien juridique atteint étant protégé par le droit civil et par le droit pénal et l'infraction commise se trouvant en relation de causalité adéquate avec l'atteinte à la personnalité du lésé. Dans ces conditions, la prescription pénale de plus longue durée concerne toutes les prétentions dérivant des art. 41 ss CO, notamment celles fondées sur les art. 45 al. 3, 47 et 49 CO (arrêt du Tribunal fédéral 4P.9/2002 du 19 mars 2002 consid. 2b; ATF 122 III 5 consid. 2c et d). Il n'est pas nécessaire qu'une plainte ait été déposée ou une poursuite pénale engagée, ni que l'auteur ait été condamné, il suffit que les conditions de l'infraction pénale soient réalisées. Le juge civil tranche à titre préjudiciel et librement la question de l'acte punissable (WERRO, op. cit., nos 30 à 32 ad art. 60 CO).</w:t>
      </w:r>
    </w:p>
    <w:p>
      <w:r>
        <w:rPr>
          <w:b/>
        </w:rPr>
        <w:t>E. 4.2</w:t>
      </w:r>
    </w:p>
    <w:p>
      <w:r>
        <w:t>Selon l'article 49 al. 1 CO, celui qui subit une atteinte illicite à sa personnalité a droit à une somme d'argent à titre de réparation morale pour autant que la gravité de l'atteinte le justifie et que l'auteur ne lui ait pas donné satisfaction autrement. L'atteinte doit être grave, à la fois objectivement est subjectivement. Elle doit être ressentie comme une souffrance morale par la victime. Une atteinte légère à l'honneur par exemple, ne constitue en principe pas une atteinte objectivement grave justifiant une réparation morale (WERRO, op. cit., n. 5 ad art. 49). 4.3.1 Selon l'article 173 ch. 1 CP, celui qui, en s'adressant à un tiers, aura accusé une personne ou jeté sur elle le soupçon de tenir une conduite contraire à l'honneur, ou de tout autre fait propre à porter atteinte à sa considération sera, sur plainte, puni d'une peine pécuniaire de 180 jours-amende au plus.</w:t>
      </w:r>
    </w:p>
    <w:p>
      <w:r>
        <w:t>L'atteinte à l'honneur pénalement réprimée doit faire apparaître la personne visée comme méprisable, il ne suffit pas de l'abaisser dans la bonne opinion qu'elle a d'elle-même ou dans les qualités qu'elle croit avoir, notamment dans le cadre de ses activités professionnelles. Echappent à la répression les assertions qui, sans faire apparaître la personne comme méprisable, sont seulement propres à ternir la réputation dont elle jouit dans son entourage ou à ébranler sa confiance en elle- même par une critique visant en tant que telle l'homme de métier. Dans le domaine des activités socio-professionnelles, il ne suffit pas de dénier à une personne certaines qualités, de lui imputer des défauts ou de l'abaisser par rapport à ses concurrents. En revanche, il y a atteinte à l'honneur au sens pénal, même dans ces domaines, si on évoque une infraction pénale ou un comportement</w:t>
      </w:r>
    </w:p>
    <w:p>
      <w:r>
        <w:t>- 11/16 -</w:t>
      </w:r>
    </w:p>
    <w:p>
      <w:r>
        <w:t>C/21685/2015 clairement réprouvé par les conceptions morales généralement admises (CORBOZ, Les infractions en droit suisse, vol. I, 2010, p. 582 et 583, n. 9, 11).</w:t>
      </w:r>
    </w:p>
    <w:p>
      <w:r>
        <w:t>L'atteinte à l'honneur doit porter sur un fait et non pas un simple jugement de valeur. Une simple critique, une évaluation ou une appréciation négative ne tombe pas sous le coup de cette disposition pénale (CORBOZ, op. cit., p. 588, n. 35).</w:t>
      </w:r>
    </w:p>
    <w:p>
      <w:r>
        <w:t>L'art. 177 ch. 1 CP prévoit quant à lui que celui qui, de toute autre manière, aura, par la parole attaqué autrui dans son honneur sera, sur plainte, puni d'une peine- pécuniaire de 90 jours-amende au plus. L'injure suppose, comme la diffamation, une atteinte à l'honneur. L'honneur que protège la loi pénale est le sentiment et la réputation d'être une personne honnête et respectable (CORBOZ, op. cit., p. 621, n. 2 et 3). L'infraction d'injure peut être réalisée par un jugement de valeur offensant, contrairement à l'infraction de diffamation qui consiste uniquement à évoquer un fait. Cela étant, il ne suffit pas de critiquer une personne d'une manière qui laisse seulement comprendre que la personne visée n'a pas les qualités requises pour exercer une activité professionnelle. Le jugement de valeur doit mettre en doute l'honnêteté, la loyauté ou la moralité d'une personne de manière à la rendre méprisable, en tant qu'être humain (CORBOZ, op. cit., p. 622 et 623, n. 10 et 12). Traiter quelqu'un de "mongol", de "parasite" ou de "psychopathe" ou comparer son comportement à "un système totalitaire de l'époque hitlérienne" constitue un jugement de valeur injurieux (FAVRE/ PELLET/ STOUDMANN, Code pénal annoté, 2007, ad art. 177 ch. 1.6; ATF 93 IV 20 consid. 2; arrêt du Tribunal fédéral 6B_6/2015 du 23 mars 2015, consid. 3.3). L'auteur peut s'adresser à un tiers ou directement à la personne visée (CORBOZ, op. cit., p. 623, n. 13). Pour les délits contre l'honneur, la prescription est de quatre ans (art. 178 CP). Elle court dès le jour où l'auteur a exercé son activité coupable (art. 98 let. a CP). 4.3.2 Les propos tenus par les supérieurs hiérarchiques de l'appelant et le traitant de "cancer" ou de "Corée du Nord" devant des tiers ne sont pas constitutifs de l'infraction de diffamation dans la mesure où ils ne portent pas sur des faits, puisqu'il est évident que l'appelant n'est pas la Corée du Nord, ni un cancer. Le qualificatif de "Corée du Nord" réalise par contre les éléments constitutifs de l'infraction d'injure. En effet, ce pays est connu pour fonctionner selon une logique totalitaire et pratiquer un culte de la personnalité de son dirigeant. Un tel propos se rapproche du qualificatif de "système totalitaire de l'époque hitlérienne" qui a été considéré comme injurieux par le Tribunal fédéral en raison du fait qu'il</w:t>
      </w:r>
    </w:p>
    <w:p>
      <w:r>
        <w:t>- 12/16 -</w:t>
      </w:r>
    </w:p>
    <w:p>
      <w:r>
        <w:t>C/21685/2015 éveillait un sentiment de mépris et rabaissait la personne visée en tant qu'être humain, et non seulement en tant que professionnel. Le qualificatif de "cancer", qui implique que l'appelant serait une maladie grave qui rongerait l'institution, est également injurieux au sens de l'art. 177 CP. Un tel propos, tenu devant des tiers à l'encontre d'un subordonné dans le cadre d'une institution comme la police est particulièrement offensant. Il ressort par ailleurs du dossier que les propos ont été tenus de manière intentionnelle. L'infraction d'injure est par conséquent réalisée, avec la conséquence que la prescription pour les faits concernés est de quatre ans. Les propos incriminés ayant été tenus respectivement en octobre 2012 et au début 2013, la prescription n'était pas acquise lorsque l'appelant a requis la poursuite de l'intimé le 5 juin 2015. 4.4.1 Aux termes de l'art. 123 ch. 1 CP, intitulé lésions corporelles simples, celui qui, intentionnellement, aura fait subir à une personne une atteinte à l'intégrité corporelle ou à la santé autre que grave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191 consid. 1.1).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w:t>
      </w:r>
    </w:p>
    <w:p>
      <w:r>
        <w:t>- 13/16 -</w:t>
      </w:r>
    </w:p>
    <w:p>
      <w:r>
        <w:t>C/21685/2015 Les circonstances concrètes doivent néanmoins être prises en considération; l'impact de l'atteinte ne sera pas nécessairement le même suivant l'âge de la victime, son état de santé, le cadre social dans lequel elle vit ou travaille, etc. (arrêt du Tribunal fédéral 6B_733/2007 du 19 juin 2008 consid. 1.4). Le comportement de l'auteur doit causer les lésions corporelles simples subies par la victime. Il faut un rapport de causalité naturelle et adéquate (CORBOZ, op. cit., p. 136, n. 16). L'infraction est intentionnelle. L'intention doit porter sur tous les éléments constitutifs, étant précisé que le dol éventuel suffit. Si l'auteur a voulu par son comportement causer des lésions corporelles simples, ou s'il a accepté cette éventualité, il importe peu qu'il n'ait pas causé exactement les lésions corporelles auxquelles il songeait (CORBOZ, op. cit., p. 137, n. 17). Les lésions corporelles par négligence sont quant à elles réprimées par l'art. 125 CP. La négligence implique que l'auteur ait violé les règles de la prudence que les circonstances lui imposaient pour ne pas excéder les limites du risque admissible (CORBOZ, op. cit., p. 147, n. 2). Le délai de prescription applicable à l'infraction de lésions corporelles est de sept ans (art. 97 CP). Il court dès le jour du dernier acte si l'activité coupable s'est exercée à plusieurs reprises ou dès le jour où les agissements coupables ont cessé s'ils ont eu une certaine durée (art. 98 let. b et c CP). 4.4.2 En ce qui concerne l'infraction de lésions corporelles simples, l'intimé conteste que l'atteinte alléguée par l'appelant atteigne le seuil de gravité requis pour l'application de l'art. 123 CP, dans la mesure où ce dernier a exercé une activité professionnelle sous la forme de la construction, suivie de la mise en exploitation, d'un important complexe dédié à la plongée durant la période de sa prétendue incapacité de travail. La Cour constate que, à teneur du certificat médical produit, l'appelant a subi une atteinte à sa santé psychique d'une certaine importance, à savoir des épisodes dépressifs récurrents, entraînant des limitations fonctionnelles incompatibles avec l'exercice de toute activité professionnelle, même à temps partiel (trouble de la concentration, ralentissement psychomoteur et isolement affectif et social significatif). Ces limitations ont nécessité la prise de psychotropes et une prise en charge psychiatrique. L'incapacité de travail a duré, selon le certificat médical, de mai 2013 jusqu'en été 2014. En décembre 2014, selon les thérapeutes de l'appelant, l'épisode dépressif était en rémission et ce dernier avait retrouvé sa capacité de travail, même s'il se disait encore très touché par les accusations infondées dont il avait fait l'objet, au point</w:t>
      </w:r>
    </w:p>
    <w:p>
      <w:r>
        <w:t>- 14/16 -</w:t>
      </w:r>
    </w:p>
    <w:p>
      <w:r>
        <w:t>C/21685/2015 qu'une modification traumatique de la personnalité pouvait être retenue pour le moment. Il ressort des pièces produites que l'appelant, contrairement à ce qui est indiqué dans le certificat médical précité, a bel et bien exercé une certaine activité professionnelle durant la période considérée, puisqu'il a mis sur pied un important centre de plongée, ce qui a impliqué le déploiement d'une activité significative. Cela étant, ce seul élément ne suffit pas pour en conclure que, comme le soutient l'intimé, le certificat médical produit par l'appelant est dénué de toute valeur probante. En particulier, le fait que l'appelant ait été suffisamment en bonne santé pour mener une certaine activité, dont on ignore l'intensité exacte, dans un contexte différent de son cadre professionnel, ne permet pas à lui seul de conclure que l'atteinte à la santé psychique qu'il a subie a été bénigne et n'a engendré qu'un trouble passager du bien-être au sens de la jurisprudence précitée. A cela s'ajoute le fait que les actes de harcèlement relevés dans le rapport du Groupe de confiance, de par leur nature et leur durée, étaient objectivement propres à générer une souffrance psychique d'une certaine intensité. Le fait que l'appelant ait exercé une activité professionnelle à l'insu de son employeur pendant sa période d'incapacité de travail pourrait être un élément dont il conviendra de tenir compte, le cas échéant, dans le cadre de la réalisation des conditions d'application de l'art. 49 CO. Par ailleurs, il peut être retenu que le lien de causalité naturelle et adéquate entre les actes de harcèlement incriminés et l'atteinte subie par l'appelant est établi. Le lien de causalité naturelle ressort du certificat médical produit par l'appelant, puisque celui-ci précise que les épisodes dépressifs sont réactionnels à "un mobbing subi". Les actes de harcèlement psychologique commis par B______ et D______ étaient en outre de nature, dans le cours ordinaire des choses et l'expérience générale de la vie, à produire ou à favoriser chez la victime de ces actes une atteinte à la santé du type dépression, entraînant un arrêt de travail. Contrairement à ce que soutient l'intimé, le fait que l'appelant avait quitté la brigade des chiens le 31 août 2012 n'exclut pas que la dépression qu'il a subie dès mai 2013 soit due au harcèlement psychologique dont il a été la cible pendant son activité dans cette brigade. En effet, le rapport du Groupe de confiance relève que les actes de harcèlement ont perduré après le départ de l'appelant de la brigade, s'étendant ainsi entre février 2011 et mai 2013. En ce qui concerne l'aspect subjectif de la commission de l'infraction, les éléments figurant au dossier ne permettent pas de retenir que B______ et D______ auraient agi de manière intentionnelle, ne serait-ce que par dol éventuel.</w:t>
      </w:r>
    </w:p>
    <w:p>
      <w:r>
        <w:t>- 15/16 -</w:t>
      </w:r>
    </w:p>
    <w:p>
      <w:r>
        <w:t>C/21685/2015 Par contre, en adoptant un comportement hostile envers l'intimé, de la manière relevée par le rapport du Groupe de confiance, dans un contexte professionnel déjà tendu, ils ont violé de manière fautive les règles générales de la prudence qui leur imposaient de se comporter de manière respectueuse envers leur subordonné et de faire preuve de suffisamment de considération à son égard. Ils auraient pu et dû, au moment des faits, se rendre compte du fait que leur attitude était susceptible de causer à l'appelant une atteinte à sa santé psychique du type de celle qui s'est produite. Il résulte de ce qui précède que les faits retenus par le Groupe de confiance comme étant des actes de harcèlement psychologique à l'encontre de l'appelant sont constitutifs de l'infraction pénale de lésions corporelles simples par négligence. Ces infractions ont eu lieu entre février 2011 et mai 2013. Le délai de prescription de sept ans dès la fin de l'activité coupable prévu par l'art. 97 CP n'était par conséquent pas échu lorsque l'appelant a requis la poursuite de l'intimé le 5 juin 2015.</w:t>
      </w:r>
    </w:p>
    <w:p>
      <w:r>
        <w:rPr>
          <w:b/>
        </w:rPr>
        <w:t>E. 5</w:t>
      </w:r>
    </w:p>
    <w:p>
      <w:r>
        <w:t>Il reste encore à examiner s'il existe un lien de causalité naturelle et adéquate entre l'acte pénalement punissable et le dommage civil dont l'appelant demande réparation.</w:t>
      </w:r>
    </w:p>
    <w:p>
      <w:r>
        <w:t>Cette condition peut être considérée comme réalisée pour les motifs relevés sous ch. 4.4.2 ci-dessus, tant en ce qui concerne les infractions de lésions corporelles simples par négligence qu'en ce qui concerne celles d'injures, qui découlent du même complexe de faits.</w:t>
      </w:r>
    </w:p>
    <w:p>
      <w:r>
        <w:rPr>
          <w:b/>
        </w:rPr>
        <w:t>E. 6</w:t>
      </w:r>
    </w:p>
    <w:p>
      <w:r>
        <w:t>Compte tenu de ce qui précède, l'exception de prescription soulevée par l'intimé doit être rejetée. Le jugement querellé sera par conséquent annulé. Dans la mesure où le Tribunal n'a pas statué sur le fond du litige, il convient de lui renvoyer la cause pour ce faire, en application de l'art. 318 al. 1 let. c CPC.</w:t>
      </w:r>
    </w:p>
    <w:p>
      <w:r>
        <w:rPr>
          <w:b/>
        </w:rPr>
        <w:t>E. 7</w:t>
      </w:r>
    </w:p>
    <w:p>
      <w:r>
        <w:t>L'intimé, qui succombe, sera condamné aux frais (art. 106 al. 1 CPC).</w:t>
      </w:r>
    </w:p>
    <w:p>
      <w:r>
        <w:t>Les frais judiciaires seront arrêtés à 1'000 fr. (art. 17 et 35 RTFMC) et compensés avec l'avance fournie par l'appelant, qui reste acquise à l'ETAT DE GENEVE par compensation (art. 111 CPC).</w:t>
      </w:r>
    </w:p>
    <w:p>
      <w:r>
        <w:t>L'intimé sera condamné à verser 1'000 fr. à l'appelant au titre des frais judiciaires, ainsi que 1'500 fr. débours et TVA compris, à titre de dépens (art. 85 et 90 RTFMC).</w:t>
      </w:r>
    </w:p>
    <w:p>
      <w:r>
        <w:t>- 16/16 -</w:t>
      </w:r>
    </w:p>
    <w:p>
      <w:r>
        <w:t>C/21685/2015 PAR CES MOTIFS, La Chambre civile : A la forme : Déclare recevable l'appel interjeté par A______ contre le jugement JTPI/12444/2016 rendu le 5 octobre 2016 par le Tribunal de première instance dans la cause C/21685/2015-15. Au fond : Annule le jugement querellé. Renvoie la cause au Tribunal pour nouvelle décision. Sur les frais : Arrête à 1'000 fr. les frais judiciaires d'appel, les compense à hauteur de ce montant avec l'avance versée par A______ et les met à charge de l'ETAT DE GENEVE. Condamne l'ETAT DE GENEVE à verser à A______ 1'000 fr. au titre de frais judiciaires. Condamne l'ETAT DE GENEVE à verser à A______ 1'500 fr.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