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ACJC/497/2024 vom 19. April 2024</w:t>
      </w:r>
    </w:p>
    <w:p>
      <w:r>
        <w:t>GE Cour de justice, 2024-04-19, FR</w:t>
      </w:r>
    </w:p>
    <w:p>
      <w:r>
        <w:rPr>
          <w:b/>
        </w:rPr>
        <w:t xml:space="preserve">Quelle: </w:t>
      </w:r>
      <w:r>
        <w:t>https://mcp.opencaselaw.ch/entscheid/ge_gerichte_ACJC_497_2024</w:t>
      </w:r>
    </w:p>
    <w:p>
      <w:r>
        <w:t>FR: GE_GERICHTE ACJC/497/2024 du 19 avril 2024</w:t>
      </w:r>
    </w:p>
    <w:p>
      <w:r>
        <w:t>IT: GE_GERICHTE ACJC/497/2024 del 19 aprile 2024</w:t>
      </w:r>
    </w:p>
    <w:p>
      <w:pPr>
        <w:pStyle w:val="Heading2"/>
      </w:pPr>
      <w:r>
        <w:t>Volltext</w:t>
      </w:r>
    </w:p>
    <w:p>
      <w:r>
        <w:t>Le présent arrêt est communiqué aux parties, par plis recommandés du 19 avril 2024.</w:t>
      </w:r>
    </w:p>
    <w:p>
      <w:r>
        <w:t>REPUBLIQUE ET</w:t>
      </w:r>
    </w:p>
    <w:p>
      <w:r>
        <w:t>CANTON DE GENEVE POUVOIR JUDICIAIRE C/20934/2022 ACJC/497/2024 ACJC/498/2024 ARRÊT DE LA COUR DE JUSTICE Chambre civile DU JEUDI 18 AVRIL 2024</w:t>
      </w:r>
    </w:p>
    <w:p>
      <w:r>
        <w:t>Entre Monsieur A______, domicilié ______ [GE], appelant et intimé d'un jugement rendu par la 2ème Chambre du Tribunal de première instance de ce canton le 17 janvier 2024, représenté par Me Olivier SEIDLER, avocat, KULIK SEIDLER, rue du Rhône 116, 1204 Genève, et Madame B______, domiciliée ______, Grande-Bretagne, intimée et appelante, représentée par Me Maud UDRY-ALHANKO, avocate, MLL Froriep SA, rue du Rhône 65, case postale 3199, 1211 Genève 3.</w:t>
      </w:r>
    </w:p>
    <w:p>
      <w:r>
        <w:t>- 2/3 -</w:t>
      </w:r>
    </w:p>
    <w:p>
      <w:r>
        <w:t>C/20934/2022 Vu, EN FAIT, les appels formés par A______ et B______ le 31 janvier 2024, respectivement le 1er février 2024, contre l'ordonnance OTPI/64/2024 rendue le 17 janvier 2024 par le Tribunal de première instance dans la cause C/20934/2022; Vu les réponses des parties des 26 février 2024 et 4 mars 2024; Vu les répliques spontanées des parties du 15 mars 2024; Vu les dupliques spontanées des 21 et 27 mars 2024; Vu l'écriture spontanée de A______ du 5 avril 2024; Attendu que par courrier déposé le 15 avril 2024, les parties ont informé la Cour être en négociation amiable et ont sollicité la suspension de la procédure; Considérant, EN DROIT, que selon l'art. 126 CPC, le tribunal peut ordonner la suspension de la procédure si des motifs d'opportunité le commandent; Que tel est le cas en l'espèce, de sorte que la suspension de la procédure sera ordonnée. * * * * *</w:t>
      </w:r>
    </w:p>
    <w:p>
      <w:r>
        <w:t>- 3/3 -</w:t>
      </w:r>
    </w:p>
    <w:p>
      <w:r>
        <w:t>C/20934/2022 PAR CES MOTIFS, La Chambre civile : Ordonne la suspension de la procédure C/20934/2022. Dit qu'elle sera reprise à la requête de la partie la plus diligente. Siégeant : Monsieur Laurent RIEBEN, président; Madame Paola CAMPOMAGNANI, Madame Nathalie RAPP,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