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ACJC/491/2024 vom 25. April 2024</w:t>
      </w:r>
    </w:p>
    <w:p>
      <w:r>
        <w:t>GE Cour de justice, 2024-04-25, FR</w:t>
      </w:r>
    </w:p>
    <w:p>
      <w:r>
        <w:rPr>
          <w:b/>
        </w:rPr>
        <w:t xml:space="preserve">Quelle: </w:t>
      </w:r>
      <w:r>
        <w:t>https://mcp.opencaselaw.ch/entscheid/ge_gerichte_ACJC_491_2024</w:t>
      </w:r>
    </w:p>
    <w:p>
      <w:r>
        <w:t>FR: GE_GERICHTE ACJC/491/2024 du 25 avril 2024</w:t>
      </w:r>
    </w:p>
    <w:p>
      <w:r>
        <w:t>IT: GE_GERICHTE ACJC/491/2024 del 25 aprile 2024</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 En l'espèce, le litige soumis au premier juge portait notamment sur la réglementation des droits parentaux, soit sur une question non patrimoniale. Par attraction, l'ensemble du litige est de nature non pécuniaire (arrêts du Tribunal fédéral 5A_186/2022 du 28 avril 2022 consid. 1; 5A_648/2020 du 12 juillet 2021 consid. 1 avec les références) et la voie de l'appel est ouverte.</w:t>
      </w:r>
    </w:p>
    <w:p>
      <w:r>
        <w:t>- 13/27 -</w:t>
      </w:r>
    </w:p>
    <w:p>
      <w:r>
        <w:t>C/7078/2020</w:t>
      </w:r>
    </w:p>
    <w:p>
      <w:r>
        <w:rPr>
          <w:b/>
        </w:rPr>
        <w:t>E. 1.2</w:t>
      </w:r>
    </w:p>
    <w:p>
      <w:r>
        <w:t>Interjeté dans les trente jours suivant la notification de la décision entreprise et dans la forme écrite prescrite par la loi (art. 130, 131, 142 al. 1, 145 al. 1 let. b et 311 al. 1 CPC), l'appel est recevable.</w:t>
      </w:r>
    </w:p>
    <w:p>
      <w:r>
        <w:rPr>
          <w:b/>
        </w:rPr>
        <w:t>E. 1.3</w:t>
      </w:r>
    </w:p>
    <w:p>
      <w:r>
        <w:t>La Cour revoit la cause en fait et en droit avec un plein pouvoir d'examen (art. 310 CPC). Dans la mesure où le litige concerne un enfant mineur, les maximes inquisitoire illimitée et d'office s'appliquent (art. 296 al. 1 et 3 CPC). La maxime inquisitoire illimitée ne dispense cependant pas les parties de collaborer activement à la procédure et d'étayer leurs propres thèses; il leur incombe de renseigner le juge sur les faits de la cause et de lui indiquer les moyens de preuve disponibles (ATF 128 III 411 consid. 3.2.1; arrêts du Tribunal fédéral 5A_138/2015 du 1er avril 2015 consid. 3.1; 5A_608/2014 du 16 décembre 2014 consid. 4.2.1).</w:t>
      </w:r>
    </w:p>
    <w:p>
      <w:r>
        <w:rPr>
          <w:b/>
        </w:rPr>
        <w:t>E. 2</w:t>
      </w:r>
    </w:p>
    <w:p>
      <w:r>
        <w:t>Dans les causes de droit matrimonial concernant des enfants mineurs, soumises à la maxime inquisitoire illimitée, les pièces nouvelles sont recevables, même si les conditions de l'art. 317 al. 1 CPC ne sont pas réunies (ATF 144 III 349 consid. 4.2.1). En l'espèce, les parties ont produit devant la Cour diverses pièces non soumises au Tribunal. Dès lors qu'elles ont trait au sort de leur fille mineure et à l'entretien de celle-ci, ces pièces sont recevables, ce qui n'est pas contesté.</w:t>
      </w:r>
    </w:p>
    <w:p>
      <w:r>
        <w:rPr>
          <w:b/>
        </w:rPr>
        <w:t>E. 3</w:t>
      </w:r>
    </w:p>
    <w:p>
      <w:r>
        <w:t>Sur le fond, l'appelant reproche au Tribunal d'avoir subordonné la reprise des relations personnelles avec sa fille à l'obligation pour lui de justifier d'un suivi thérapeutique mensuel. Il fait également grief au premier juge d'avoir ordonné une thérapie familiale parallèlement à cette reprise, dans le but de faciliter la mise en place et l'éventuel élargissement de son droit de visite. Il sollicite que le curateur soit dispensé de veiller au respect de ces mesures.</w:t>
      </w:r>
    </w:p>
    <w:p>
      <w:r>
        <w:rPr>
          <w:b/>
        </w:rPr>
        <w:t>E. 3.1</w:t>
      </w:r>
    </w:p>
    <w:p>
      <w:r>
        <w:t>Selon l'art. 273 CC, le père ou la mère qui ne détient pas la garde ainsi que l'enfant mineur ont réciproquement le droit d'entretenir les relations personnelles indiquées par les circonstances.</w:t>
      </w:r>
    </w:p>
    <w:p>
      <w:r>
        <w:rPr>
          <w:b/>
        </w:rPr>
        <w:t>E. 3.1.1</w:t>
      </w:r>
    </w:p>
    <w:p>
      <w:r>
        <w:t>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131 III 209 consid. 5; arrêts du Tribunal fédéral 5A_497/2017 du 7 juin 2018 consid. 4.1; 5A_618/2017 du 2 février 2018 consid. 4.2). Il est unanimement reconnu que le rapport de l'enfant avec ses deux parents est essentiel et qu'il peut jouer un rôle décisif dans le processus de recherche d'identité de l'enfant (ATF 127 III 295 consid. 4a; 123 III 445 consid. 3c; arrêt du Tribunal fédéral 5A_568/2017 du 21 novembre 2017 consid. 5.1).</w:t>
      </w:r>
    </w:p>
    <w:p>
      <w:r>
        <w:t>- 14/27 -</w:t>
      </w:r>
    </w:p>
    <w:p>
      <w:r>
        <w:t>C/7078/2020 L'importance et le mode d'exercice des relations personnelles doivent être appropriés à la situation (ATF 127 III 295 consid. 4a). On tiendra compte notamment de l'âge de l'enfant, de son état de santé, de ses loisirs, etc. La disponibilité du parent, son lieu de vie, sa personnalité et la relation qu'il entretient avec l'enfant sont autant de critères pertinents (COTTIER, Commentaire romand, Code civil I, 2ème éd., 2023, n. 10 ad art. 273 CC). Lorsque les relations personnelles risquent de compromettre le bien de l'enfant, l'application conjointe des art. 273 al. 2 et 274 al. 2 CC permet de subordonner l'exercice du droit de visite à des modalités particulières, telles que l'organisation des visites dans un lieu spécifique ou protégé. Le retrait du droit aux relations personnelles ne doit être envisagé qu'à titre d'ultima ratio (ATF 122 III 404 consid. 3c; ATF 120 II 229 consid. 3b; arrêt du Tribunal fédéral 5A_568/2017 cité consid. 5.1) La réglementation du droit de visite ne saurait dépendre seulement de la volonté de l'enfant, notamment lorsqu'un comportement défensif de celui-ci est principalement influencé par le parent gardien. Il s'agit d'un critère parmi d'autres;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(arrêt du Tribunal fédéral 5A_459/2015 du 13 août 2015 consid. 6.2.2).</w:t>
      </w:r>
    </w:p>
    <w:p>
      <w:r>
        <w:rPr>
          <w:b/>
        </w:rPr>
        <w:t>E. 3.1.2</w:t>
      </w:r>
    </w:p>
    <w:p>
      <w:r>
        <w:t>Le juge prend les mesures nécessaires pour protéger l'enfant si son développement est menacé et que les père et mère n'y remédient pas d'eux-mêmes ou sont hors d'état de le faire (art. 307 al. 1 et 315a al. 1 CC). Parmi les mesures de protection de l'enfant prévues de manière générale à l'art. 307 al. 1 CC, le juge peut notamment, en application de l'art. 307 al. 3 CC, donner des instructions aux père et mère ou à l'enfant et, en particulier, ordonner la mise en place d'une thérapie (cf. aussi art. 273 al. 2 CC; ATF 142 III 197 consid. 3.7; arrêts du Tribunal fédéral 5A_415/2020 du 18 mars 2021 consid. 6.1; 5A_887/2017 du 16 février 2018 consid. 5.1 et les références; 5A_615/2011 du</w:t>
      </w:r>
    </w:p>
    <w:p>
      <w:r>
        <w:rPr>
          <w:b/>
        </w:rPr>
        <w:t>E. 3.1.3</w:t>
      </w:r>
    </w:p>
    <w:p>
      <w:r>
        <w:t>Selon l'art. 308 CC, lorsque les circonstances l'exigent, l'autorité de protection de l'enfant - respectivement le juge (art. 315a al. 1 CC) - nomme un curateur qui assiste les père et mère de ses conseils et de son appui dans la prise en charge de l'enfant (al. 1). Le curateur peut se voir conférer certains pouvoirs tels que la surveillance des relations personnelles (al. 2). La mesure de protection prévue à l'art. 308 al. 2 CC a pour but de faciliter, malgré les tensions existant entre les père et mère, le contact entre l'enfant et le parent qui</w:t>
      </w:r>
    </w:p>
    <w:p>
      <w:r>
        <w:t>- 15/27 -</w:t>
      </w:r>
    </w:p>
    <w:p>
      <w:r>
        <w:t>C/7078/2020 n'est pas au bénéfice de la garde et de garantir l'exercice du droit de visite. Le rôle du curateur de surveillance des relations personnelles est proche de celui d'un intermédiaire et d'un négociateur, étant précisé que sa nomination n'a pas pour vocation d'offrir une situation de confort à des parents en froid qui souhaiteraient par ce biais s'épargner tout contact. En revanche, une curatelle de surveillance des relations personnelles devrait toujours être instituée lorsque des tensions relatives à l'exercice du droit de visite mettent sérieusement en danger le bien de l'enfant. L'autorité qui ordonne une mesure de protection de l'enfant dispose à cet égard d'un large pouvoir d'appréciation (arrêts du Tribunal fédéral 5A_983/2019 du 13 novembre 2020 consid. 9.1, 5A_819/2016 du 21 février 2017 consid. 8.3.2; 5A_7/2016 du 15 juin 2016 consid. 3.3.2).</w:t>
      </w:r>
    </w:p>
    <w:p>
      <w:r>
        <w:rPr>
          <w:b/>
        </w:rPr>
        <w:t>E. 3.2</w:t>
      </w:r>
    </w:p>
    <w:p>
      <w:r>
        <w:t>En l'espèce, la Cour partage l'avis du Tribunal selon lequel il convient de prévoir une reprise des relations personnelles entre le père et sa fille, nonobstant l'opposition de celle-ci et l'absence de contacts depuis plusieurs années, afin de donner aux intéressés une chance de renouer des liens durant la minorité de l'enfant. Il n'y a dès lors pas lieu de supprimer le droit de visite restreint réservé à l'appelant par le premier juge, ce que les parties ne sollicitent pas, ni d'en revoir la fréquence, la durée ou le caractère surveillé, qui ne sont pas contestés. S'il est vrai que le SEASP n'a pas préconisé de subordonner la mise en œuvre de ce droit de visite au suivi par l'appelant d'une thérapie individuelle ciblée sur les besoins de sa fille, comme celui-ci le relève, force est de constater qu'une telle mesure paraît nécessaire, compte tenu du blocage actuel de la situation et des difficultés avérées de l'appelant à se remettre en question, ainsi qu'à se mettre à la place de sa fille. Le courrier rédigé par l'appelant à l'intention de sa fille au mois d'octobre 2022 exprime notamment peu d'empathie et de regrets, et il est compréhensible qu'il ait été perçu comme insuffisant par celle-ci. Cette mesure est également proportionnée, l'appelant indiquant lui-même avoir entrepris un tel suivi au mois d'avril 2023, et on ne voit pas en quoi la poursuite d'un tel suivi, ni le fait de devoir en justifier mensuellement, représenterait un effort qu'on ne peut raisonnablement exiger de lui. Par conséquent, l'appelant sera débouté de ses conclusions tendant à la suppression de la condition ainsi fixée et le jugement entrepris sera confirmé sur ce point. S'agissant de la thérapie familiale litigieuse, on relèvera tout d'abord que le Tribunal ne l'a pas formellement érigée en condition de la reprise des relations personnelles entre l'appelant et sa fille, contrairement à ce que celui-ci soutient. La thérapie ordonnée vise seulement à accompagner cette reprise, raison pour laquelle elle devrait être entreprise à bref délai, et doit également permettre à terme un possible élargissement du droit de visite, dans l'intérêt de la mineure C______ comme dans celui de l'appelant. Pour les mêmes motifs que précédemment, une telle thérapie est en l'espèce nécessaire, compte tenu de l'acuité du conflit parental et de l'absence d'évolution dans leurs positions depuis</w:t>
      </w:r>
    </w:p>
    <w:p>
      <w:r>
        <w:t>- 16/27 -</w:t>
      </w:r>
    </w:p>
    <w:p>
      <w:r>
        <w:t>C/7078/2020 plusieurs années. Elle est également proportionnée, aucune mesure moins contraignante ne paraissant à même de permettre aux parties, ainsi qu'à leur fille, de surmonter leurs difficultés relationnelles. Le seul fait que l'intimée ait pu indiquer aux curateurs qu'il ne lui incombait pas, de son point de vue, d'initier une telle thérapie, ne permet pas de retenir qu'elle refusera de s'y soumettre, si la démarche est entreprise par l'appelant, étant observé que la mesure n'avait pas encore été ordonnée par le Tribunal, mais seulement préconisée par le SEASP, lorsque l'intimée a pu émettre l'avis susvisé. A supposer que l'intimée ou sa fille refusent sans raison de participer à la thérapie ordonnée, il pourra au surplus en être tenu compte dans le cadre d'une prochaine réglementation des relations parentales, à l'initiative notamment du curateur. Par conséquent, le jugement entrepris sera également confirmé en tant qu'il a exhorté les parties à entreprendre une thérapie familiale, à laquelle leur fille pourrait se joindre, et prévu que le curateur pourrait tenir compte de l'avancement de cette démarche pour faciliter la mise en œuvre des relations personnelles et suggérer à terme les adaptations nécessaires de celles-ci. Vu les considérants qui vont suivre, il n'y a par ailleurs pas lieu de dispenser les parties d'assumer conjointement les coûts de la curatelle, dont le principe n'est pas contesté. Le fait que le Tribunal de protection ait au surplus relevé les curateurs initialement désignés de leur mission ne remet pas en cause le fondement même de la curatelle et il incombera au Tribunal de protection, auquel le présent arrêt sera communiqué, de désigner une ou plusieurs personnes pour leur succéder dans leurs fonctions. 4. L'appelant reproche au Tribunal de l'avoir condamné à contribuer à l'entretien de sa fille mineure C______. En particulier, il conteste disposer d'une capacité de gain suffisante et fait grief au premier juge de lui avoir imputé un revenu hypothétique. 4.1 Selon l'art. 276 al. 1 CC, l'entretien de l'enfant est assuré par les soins, l'éducation et des prestations pécuniaires, ces trois éléments étant considérés comme équivalents (ATF 147 III 265 consid. 5.5; arrêt du Tribunal fédéral 5A_117/2021 du 9 mars 2022 consid. 4.2). Aux termes de l'art. 276 al. 2 CC, les parents contribuent ensemble, chacun selon ses facultés, à l'entretien convenable de l'enfant et assument en particulier les frais de sa prise en charge, de son éducation, de sa formation et des mesures prises pour le protéger.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w:t>
      </w:r>
    </w:p>
    <w:p>
      <w:r>
        <w:t>- 17/27 -</w:t>
      </w:r>
    </w:p>
    <w:p>
      <w:r>
        <w:t>C/7078/2020 argent et en nature, l'obligation d'entretien en argent incombe en principe entièrement à l'autre parent (ATF 147 III 265 consid. 5.5 et 8.1). 4.1.1 Pour fixer la contribution d'entretien, le juge doit en principe tenir compte du revenu effectif des parties (ATF 143 III 233 consid. 3.2, 137 III 102 consid. 4.2.2.2; arrêts du Tribunal fédéral 5A_464/2022 du 31 janvier 2023 consid. 3.1.2; 5A_645/2020 du 19 mai 2021 consid. 5.2.1 et les références citées). Tant le débiteur d'entretien que le créancier peuvent cependant se voir imputer un revenu hypothétique supérieur à leur revenu effectif. Il s'agit ainsi d'inciter la personne à réaliser le revenu qu'elle est en mesure de se procurer et qu'on peut raisonnablement exiger d'elle afin de remplir ses obligations (ATF 143 III 233 consid. 3.2; 137 III 102 consid. 4.2.2.2; arrêt du Tribunal fédéral 5A_963/2018 du 23 mai 2019 consid. 3.3.3).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(ATF 137 III 118 consid. 3.1; arrêt du Tribunal fédéral 5A_514/2020 précité du 2 décembre 2020 consid. 3.1.2). L'aide sociale, dès lors qu'elle est subsidiaire aux contributions du droit de la famille, ne constitue pas un revenu à retenir dans le calcul des ressources disponibles (arrêts du Tribunal fédéral 5A_158/2010 du 25 mars 2010 consid. 3.2; 5A_170/2007 du 27 juin 2007 consid. 4 et les références citées; BASTONS BULLETTI, L'entretien après divorce : méthodes de calcul, montant, durée et limites, in SJ 2007 II 77 ss, p. 81). 4.1.2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en précisant le type d'activité professionnelle que cette personne peut raisonnablement devoir accomplir. Il doit ensuite établir si la personne a la possibilité effective d'exercer l'activité ainsi déterminée et quel revenu elle peut en obtenir, compte tenu des circonstances subjectives susmentionnées et du marché du travail (ATF 143 III 233 consid. 3.2; 137 III 102 consid. 4.2.2.2; arrêt du Tribunal fédéral 5A_645/2020 précité consid. 5.2.1). Pour arrêter le montant du revenu, le juge peut éventuellement se baser sur l'enquête suisse sur la structure des salaires, réalisée par l'Office fédéral de la statistique, ou sur d'autres sources, comme le calculateur national de salaire du SECO ou les conventions collectives de travail (ATF 137 III 118 consid. 3.2; LEUBA/MEIER/PAPAUX VAN DELDEN, Droit du divorce, 2021, p. 284).</w:t>
      </w:r>
    </w:p>
    <w:p>
      <w:r>
        <w:t>- 18/27 -</w:t>
      </w:r>
    </w:p>
    <w:p>
      <w:r>
        <w:t>C/7078/2020 Le fait qu'un débirentier sans emploi n'ait pas vu ses indemnités suspendues, à titre de sanction, par une assurance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d'assurances sociales (ATF 137 III 118 consid. 3.1; arrêt du Tribunal fédéral 5A_461/2019 du 6 mars 2020 consid. 3.1). Si le juge entend exiger la prise ou la reprise d'une activité lucrative, ou encore l'extension de celle-ci, il doit généralement lui accorder un délai approprié pour s'adapter à sa nouvelle situation; ce délai doit être fixé en fonction des circonstances du cas particulier (ATF 144 III 481 consid. 4.6; 129 III 417 consid. 2.2; 114 II 13 consid. 5; arrêts du Tribunal fédéral 5A_444/2021 du</w:t>
      </w:r>
    </w:p>
    <w:p>
      <w:r>
        <w:rPr>
          <w:b/>
        </w:rPr>
        <w:t>E. 5</w:t>
      </w:r>
    </w:p>
    <w:p>
      <w:r>
        <w:t>décembre 2011 consid. 4).</w:t>
      </w:r>
    </w:p>
    <w:p>
      <w:r>
        <w:rPr>
          <w:b/>
        </w:rPr>
        <w:t>E. 5.1</w:t>
      </w:r>
    </w:p>
    <w:p>
      <w:r>
        <w:t>Selon l'art. 285 al. 1 CC, la contribution d'entretien due à l'enfant doit correspondre aux besoins de celui-ci, ainsi qu'à la situation et aux ressources des père et mère, compte tenu de la fortune et des revenus de l'enfant. Le Tribunal fédéral a posé, pour toute la Suisse, une méthode de calcul uniforme des contributions d'entretien du droit de la famille (ATF 147 III 265, SJ 2021 I 3016; 147 III 293; 147 III 301). Selon cette méthode, dite en deux étapes, les ressources et besoins des personnes intéressées sont déterminés, puis les ressources sont réparties entre les membres de la famille de manière à couvrir, dans un certain ordre, le minimum vital du droit des poursuites ou, si les ressources sont suffisantes, le minimum vital élargi du droit de la famille, puis l'excédent éventuel (ATF 147 III 265 consid. 7).</w:t>
      </w:r>
    </w:p>
    <w:p>
      <w:r>
        <w:t>- 21/27 -</w:t>
      </w:r>
    </w:p>
    <w:p>
      <w:r>
        <w:t>C/7078/2020</w:t>
      </w:r>
    </w:p>
    <w:p>
      <w:r>
        <w:rPr>
          <w:b/>
        </w:rPr>
        <w:t>E. 5.1.1</w:t>
      </w:r>
    </w:p>
    <w:p>
      <w:r>
        <w:t>Les besoins des parties sont calculés en prenant pour point de départ les lignes directrices pour le calcul du minimum vital du droit des poursuites selon l'art. 93 LP, en y dérogeant s'agissant du loyer, une participation aux frais de logement du parent gardien devant être attribuée à chaque enfant (20% pour un enfant, 30% pour deux enfants et 40% dès trois enfants, cf. BURGAT, Entretien de l'enfant, des précisions bienvenues : une méthode (presque) complète et obligatoire pour toute la Suisse; analyse de l'arrêt du Tribunal fédéral 5A_311/2019, Newsletter DroitMatrimonial.ch janvier 2021, p. 15). Pour les enfants, outre la part au loyer, les primes d'assurance-maladie obligatoire, les frais médicaux spécifiques, les frais de garde par des tiers et les frais scolaires doivent être ajoutés aux besoins de base (ATF 147 III 265 consid. 7.1).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participation aux frais de logement du parent gardien adaptée aux circonstances financières concrètes et les primes d'assurance-maladie complémentaire. En revanche, la prise en compte de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La charge fiscale à inclure dans les besoins élargis de l'enfant correspond à la proportion du revenu de l'enfant (incluant les contributions d'entretien en espèces, allocations familiales, rentes d'assurances sociales à l'exception notamment de la contribution de prise en charge) au regard du revenu total imposable du parent bénéficiaire (y compris la contribution d'entretien) appliquée à la dette fiscale totale du parent bénéficiaire (arrêt du Tribunal fédéral 5A_816/2019 du 25 juin 2021 consid. 4.2.3.5).</w:t>
      </w:r>
    </w:p>
    <w:p>
      <w:r>
        <w:rPr>
          <w:b/>
        </w:rPr>
        <w:t>E. 5.1.2</w:t>
      </w:r>
    </w:p>
    <w:p>
      <w:r>
        <w:t>L'éventuel excédent est réparti en principe par "grandes et petites têtes", la part pour un parent étant le double de celle pour un enfant mineur. De multiples raisons fondées sur les particularités du cas d'espèce permettent toutefois de déroger à cette répartition, notamment la répartition de la prise en charge des enfants ou des besoins particuliers (ATF 147 III 265 consid. 7, 7.3 et 8.3.2).</w:t>
      </w:r>
    </w:p>
    <w:p>
      <w:r>
        <w:t>- 22/27 -</w:t>
      </w:r>
    </w:p>
    <w:p>
      <w:r>
        <w:t>C/7078/2020 Dans tous les cas le minimum vital du droit des poursuites du débirentier doit être préservé (ATF 147 III 265 consid. 7.3). Lorsque les ressources financières sont insuffisantes et que l'entretien convenable de l'enfant ne peut pas être couvert, le montant manquant doit être indiqué dans la décision qui fixe les contributions d'entretien (art. 287a let. c CC; art. 301a let. c CPC).</w:t>
      </w:r>
    </w:p>
    <w:p>
      <w:r>
        <w:rPr>
          <w:b/>
        </w:rPr>
        <w:t>E. 5.2</w:t>
      </w:r>
    </w:p>
    <w:p>
      <w:r>
        <w:t>En l'espèce, un revenu hypothétique n'est imputé à l'appelant qu'à compter du 1er juin 2024. Le ch. 12 du dispositif du jugement entrepris, qui a dispensé celui-ci de contribuer à l'entretien de sa fille jusqu'au 1er novembre 2023, sera donc réformé pour prolonger cette dispense jusqu'au 1er juin 2024, l'appelant ne disposant jusque-là d'aucune capacité contributive. L'appelant conteste également le ch. 13 dudit dispositif, qui a fixé l'entretien convenable de C______ à 1'928 fr. par mois pour la période comprise entre le prononcé du jugement entrepris et sa reprise exigible d'une activité. Afin de préciser le montant manquant, conformément aux exigences rappelées ci-dessus, il convient dès lors d'examiner d'abord cette question. En l'occurrence, les ressources des parents jusqu'au 1er juin 2024 ne comprennent que les revenus de l'intimée, qui s'élèvent à 6'750 fr. net par mois. Ces revenus ne couvrent guère plus que le minimum vital de droit des poursuites des parents et de leur fille, qui inclut leurs frais de logement (992 fr. + 1'200 fr., l'intimée ayant emménagé chez son compagnon dès le mois d'août 2023), leurs primes d'assurance-maladie obligatoire (502 fr. + 555 fr. + 156 fr.), leurs frais médicaux non couverts (50 fr. + 271 fr. + 60 fr.), leurs frais de transport (70 fr. + 70 fr. + 76 fr.), les frais scolaires de C______ (100 fr., à l'exclusion des frais d'écolage privé), les frais de repas hors domicile de l'intimée (180 fr.) et l'entretien de base des intéressés (1'200 fr. + 850 fr. + 600 fr.), soit un total de 6'932 fr. ou de 6'621 fr. après déduction des allocations familiales (6'932 fr. – 311 fr. = 6'621 fr.). Il s'ensuit que l'entretien convenable de C______ pour la période comprise entre le prononcé du jugement et le 1er juin 2024 doit être limité au minimum vital susvisé. Dans son cas, cet entretien comprend une part des frais de logement de sa mère (240 fr., soit 20% de 1'200 fr.), ses primes d'assurance-maladie obligatoire (156 fr.), ses frais médicaux non couverts (60 fr.), ses frais de transport (76 fr.), ses frais scolaires (100 fr.) et son entretien de base (600 fr.), soit un total de 1'232 fr. avant déduction des allocations familiales, et de 920 fr. après imputation de celles-ci (1'232 fr. – 311 fr. = 921 fr.). Le ch. 13 du dispositif du jugement entrepris sera donc réformé en ce sens que l'entretien convenable de C______ pour la période comprise entre le prononcé du jugement entrepris et le 1er juin 2024 sera arrêté à 920 fr. par mois, allocations familiales déduites.</w:t>
      </w:r>
    </w:p>
    <w:p>
      <w:r>
        <w:t>- 23/27 -</w:t>
      </w:r>
    </w:p>
    <w:p>
      <w:r>
        <w:t>C/7078/2020</w:t>
      </w:r>
    </w:p>
    <w:p>
      <w:r>
        <w:rPr>
          <w:b/>
        </w:rPr>
        <w:t>E. 5.3</w:t>
      </w:r>
    </w:p>
    <w:p>
      <w:r>
        <w:t>Pour la période subséquente, les ressources financières des parents et de l'enfant s'élèvent à 12'361 fr. net par mois (soit 5'300 fr. pour l'appelant, 6'750 fr. pour l'intimée et 311 fr. d'allocations familiales), compte tenu du revenu hypothétique imputé à l'intimé. Ces ressources excédent manifestement le minimum vital de droit des poursuites des parents et de leur fille, arrêté ci-dessus à 6'621 fr. par mois. Il s'ensuit qu'à compter du 1er juin 2024, il convient d'examiner leur situation au regard du minimum vital de droit de la famille, comme l'a fait à bon droit le Tribunal.</w:t>
      </w:r>
    </w:p>
    <w:p>
      <w:r>
        <w:rPr>
          <w:b/>
        </w:rPr>
        <w:t>E. 5.3.1</w:t>
      </w:r>
    </w:p>
    <w:p>
      <w:r>
        <w:t>En l'occurrence, les charges mensuelles admissibles de l'appelant comprennent son loyer (992 fr.), ses primes d'assurance-maladie obligatoire (502 fr.), ses frais médicaux non remboursés (50 fr.), ses primes d'assurance ménage/rc (19 fr.), son abonnement aux transports publics (70 fr.) ses frais de téléphonie mobile (99 fr.) et son entretien de base OP (1'200 fr.), pour un total de 2'932 fr. par mois. Au vu du revenu hypothétique de 63'600 fr. net par an qui lui est imputé (5'300 fr. x 12), ainsi que de l'obligation d'entretien fixée dans le présent arrêt (15'600 fr.), sa charge fiscale peut être estimée à 425 fr. par mois environ selon la calculette mise à disposition par l'Administration fiscale cantonale genevoise (personne divorcée, sans enfant à charge, sans fortune, primes d'assurance-maladie de 6'000 fr. et frais médicaux de 600 fr. par an). Ceci porte le total de ses charges à 3'357 fr. par mois (2'932 fr. + 425 fr.). Le disponible mensuel de l'appelant s'élève ainsi à 1'943 fr. (5'300 fr. – 3'357 fr.).</w:t>
      </w:r>
    </w:p>
    <w:p>
      <w:r>
        <w:rPr>
          <w:b/>
        </w:rPr>
        <w:t>E. 5.3.2</w:t>
      </w:r>
    </w:p>
    <w:p>
      <w:r>
        <w:t>Les charges mensuelles admissibles de l'intimée comprennent sa participation aux frais du logement de son compagnon, sous déduction d'une part de 20% dévolue à la mineure C______ (1'200 fr. – 20% = 960 fr.), étant précisé que on ne voit pas pour quelle raison l'intimée et sa fille seraient dispensées de participer aux frais dudit logement, comme le soutient l'appelant. Ces frais sont en effet établis et la participation de l'intimée est inférieure au loyer du logement que celle-ci occupait précédemment avec sa fille (1'348 fr.). Aux frais de logement susvisés s'ajoutent les primes d'assurance maladie obligatoire (555 fr.) et complémentaire (138 fr.) de l'intimée, ses frais médicaux non remboursés (271 fr.), ses primes d'assurance RC (39 fr.), le remboursement d'un prêt à son employeur (125 fr.), ses frais de repas pris à l'extérieur (180 fr.), ses frais de transport (70 fr.), la redevance radio-tv (31 fr.), ses frais de téléphonie (71 fr.) et son entretien de base (850 fr.), totalisant 2'192 fr. par mois. Compte tenu d'un revenu net imposable de 91'800 fr. (soit 6'750 fr. x 12 = 81'000 fr., sous déduction de 4'800 fr. de primes d'assurance maladie – montant</w:t>
      </w:r>
    </w:p>
    <w:p>
      <w:r>
        <w:t>- 24/27 -</w:t>
      </w:r>
    </w:p>
    <w:p>
      <w:r>
        <w:t>C/7078/2020 maximal admis par le fisc vaudois – et après ajout de la contribution d'entretien fixée dans le présent arrêt, 15'600 fr.), la charge fiscale de l'intimée peut être estimée à 1'275 fr. par mois selon la calculette mise à disposition par l'Administration fiscale cantonale vaudoise (ICC: 1'170 fr. + IFD: 105 fr.; personne divorcée, commune de J______, un enfant à charge faisant ménage commun, aucune fortune). Conformément aux principes ci-dessus, 17% environ de cette somme (1'275 fr. x 17% = 220 fr.) doit être attribuée à l'enfant C______, dont la contribution alimentaire représente la même proportion du revenu imposable total susvisé (15'600 fr. / 91'800 fr. = 16,99%), ce qui laisse un montant d'impôt de 1'055 fr. (1'275 fr. – 220 fr.) à la charge de l'intimée. Le total des charges mensuelles de l'intimée s'élève dès lors à 4'207 fr. (960 fr. + 2'192 fr. + 1'055 fr.), de sorte que son disponible mensuel peut être estimé à 2'543 fr. (6'750 fr. – 4'207 fr.).</w:t>
      </w:r>
    </w:p>
    <w:p>
      <w:r>
        <w:rPr>
          <w:b/>
        </w:rPr>
        <w:t>E. 5.3.3</w:t>
      </w:r>
    </w:p>
    <w:p>
      <w:r>
        <w:t>A compter du 1er juin 2024, l'entretien convenable de la mineure C______ comprend une part des frais de logement de sa mère (240 fr.), ses primes d'assurance-maladie obligatoire (156 fr.) et complémentaire (53 fr.), ses frais médicaux non couverts (61 fr.), ses frais d'écolage et de matériel scolaire (100 fr.), ses frais de transport (76 fr.), ses frais de téléphonie mobile (80 fr., étant précisé que l'appelant est malvenu de contester l'augmentation desdits frais alors que ses propres frais de téléphonie mobile s'élèvent à 99 fr. par mois), sa part d'impôts (220 fr.) et son entretien de base (600 fr.), soit un total de 1'586 fr. par mois. Les frais de camp, d'animations et d'activités sportives font partie des loisirs et doivent le cas échéant être assumés au moyen de l'excédent, conformément aux principes rappelés ci-dessus. Allocations familiales déduites, l'entretien convenable de la mineure C______ s'élève dès lors à 1'275 fr. par mois jusqu'à l'âge de 16 ans (1'586 fr. – 311 fr.), puis à 1'171 fr. par mois de l'âge de 16 ans à la majorité (1'586 fr. – 415 fr.).</w:t>
      </w:r>
    </w:p>
    <w:p>
      <w:r>
        <w:rPr>
          <w:b/>
        </w:rPr>
        <w:t>E. 5.3.4</w:t>
      </w:r>
    </w:p>
    <w:p>
      <w:r>
        <w:t>Au vu du caractère hypothétique du revenu imputé à l'appelant, il sera essentiellement renoncé au partage de l'excédent, qui est certes appréciable au vu des chiffres susvisés (1'943 fr. + 2'543 fr. – 1'275 fr. = 3'211 fr.), mais qui est, lui aussi, de nature hypothétique. Il convient de noter qu'en l'absence dudit revenu, le déficit familial s'élève en l'état à 1'655 fr. par mois (2'543 fr. – [2'923 fr. + 1'275 fr.]). L'appelant sera dès lors condamné à assumer, à compter du 1er juin 2024, la part de l'entretien convenable de la mineure C______ non couverte par les allocations familiales, soit un montant arrondi à 1'300 fr. par mois, et ce jusqu'à sa majorité, voire au-delà en cas de d'études ou de formation sérieuses et régulières. L'augmentation des allocations familiales dès l'âge de 16 ans, à raison d'une modeste centaine de francs, ne justifie pas de réduire le montant susvisé à compter</w:t>
      </w:r>
    </w:p>
    <w:p>
      <w:r>
        <w:t>- 25/27 -</w:t>
      </w:r>
    </w:p>
    <w:p>
      <w:r>
        <w:t>C/7078/2020 de la date anniversaire correspondante, comme le propose l'appelant. Cette augmentation doit en l'occurrence profiter à la mineure concernée, ce d'autant qu'il est ici renoncé au partage de l'excédent. Il convient au surplus d'observer que le montant fixé ci-dessus est proche de celui réclamé en dernier lieu par l'intimée devant le premier juge, qui était compris entre 1'300 fr. et 1'400 fr. par mois, sans que celle-ci n'explicite par ailleurs son calcul. La clause d'indexation prévue par le premier juge sera quant à elle maintenue, avec la précision que le dies a quo de l'indexation sera fixé au 1er janvier 2025, dès lors que les charges des parties ont été actualisées dans les calculs ci-dessus. Les chiffres 14 et 16 du dispositif du jugement entrepris seront réformés en conséquence. Ledit jugement sera pour le surplus confirmé. 6. 6.1 La réformation partielle du jugement entrepris ne commande pas de revoir la décision du Tribunal sur les frais, qui n'est pas contestée (art. 318 al. 3 CPC a contrario). 6.2 Les frais judiciaires d'appel seront arrêtés à 3'000 fr. (art. 30 et 35 RTFMC) et mis à la charge des parties pour moitié chacune, vu la nature familiale du litige (art. 107 al. 1 let. c CPC). L'appelant plaidant au bénéfice de l'assistance juridique, sa part sera provisoirement supportée par l'Etat de Genève, qui pourra en réclamer le remboursement ultérieurement aux conditions fixées par la loi (art. 123 al. 1 CPC et 19 RAJ). L'intimée sera quant à elle condamnée à verser 1'500 fr. à l'Etat de Genève, soit pour lui les Services financiers du Pouvoir judiciaire. Compte tenu de la nature familiale du litige, chaque partie supportera ses propres dépens d'appel (art. 107 al. 1 let. c CPC). * * * * *</w:t>
      </w:r>
    </w:p>
    <w:p>
      <w:r>
        <w:t>- 26/27 -</w:t>
      </w:r>
    </w:p>
    <w:p>
      <w:r>
        <w:t>C/7078/2020</w:t>
      </w:r>
    </w:p>
    <w:p>
      <w:r>
        <w:t>PAR CES MOTIFS, La Chambre civile : A la forme : Déclare recevable l'appel interjeté le 5 septembre 2023 par A______ contre le jugement JTPI/7762/2023 rendu le 30 juin 2023 par le Tribunal de première instance dans la cause C/7078/2020. Au fond : Annule les chiffre 12 à 14 et 16 du dispositif du jugement entrepris et, statuant à nouveau sur ces points : Dit qu'aucune contribution à l'entretien de la mineure C______ n'est due pour la période allant du prononcé du jugement entrepris jusqu'au 31 mai 2024. Dit que l'entretien convenable de la mineure C______ entre le prononcé du jugement entrepris et le 1er juin 2024 s'élève à 920 fr. par mois, allocations familiales déduites. Condamne A______ à verser en mains de B______, à titre de contribution à l'entretien de la mineure C______, à compter du 1er juin 2024, par mois et d'avance, allocations familiales non comprises, la somme de 1'300 fr. jusqu'à la majorité, voire au-delà en cas d'études ou de formation régulières et suivies. Dit que la contribution d'entretien susvisée sera indexée, la première fois le 1er janvier 2025, à l'indice genevois des prix à la consommation, l'indice de référence étant celui en vigueur au moment du prononcé du présent arrêt, dans la mesure où les revenus du débiteur suivront cette indexation. Confirme le jugement entrepris pour le surplus. Déboute les parties de toutes autres conclusions. Sur les frais : Arrête les frais judiciaires d'appel à 3'000 fr. et les met à la charge des parties à raison d'une moitié chacune. Dit que la part de A______ est provisoirement supportée par l'Etat de Genève. Condamne B______ à verser 1'500 fr. à l'Etat de Genève, soit pour lui les Services financiers du Pouvoir judiciaire.</w:t>
      </w:r>
    </w:p>
    <w:p>
      <w:r>
        <w:t>- 27/27 -</w:t>
      </w:r>
    </w:p>
    <w:p>
      <w:r>
        <w:t>C/7078/2020 Dit que chaque partie supporte ses propres dépens d'appel. Siégeant : Monsieur Cédric-Laurent MICHEL, président; Madame Pauline ERARD, Madame Paola CAMPOMAGNANI, juges; Madame Sandra CARRIER, greffière.</w:t>
      </w:r>
    </w:p>
    <w:p>
      <w:r>
        <w:t>Le président : Cédric-Laurent MICHEL</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mars 2022 consid. 3.1; 5A_192/2021 du 18 novembre 2021 consid. 7.1.1 et les références). 4.2 En l'espèce, l'appelant émarge depuis plusieurs années à l'assistance publique, après avoir perdu son dernier emploi fixe en 2018 et épuisé son droit à des indemnités de chômage au mois d'août 2020. 4.2.1 L'appelant possède cependant une formation de type universitaire dans le domaine économique et bénéficie d'une solide expérience en matière de comptabilité, acquise auprès de sociétés actives à l'international. Sa parfaite maîtrise de l'anglais constitue un atout auprès de tels employeurs et l'appelant ne fait état d'aucun problème de santé qui l'empêcherait d'occuper un poste de nature similaire à ceux qu'il occupait auparavant, notamment dans le domaine de la comptabilité ou de l'analyse financière. Son âge, qui est actuellement de 51 ans, ne saurait constituer une raison suffisante pour le dispenser de reprendre une telle activité lucrative, aux fins de se conformer à ses obligations. L'appelant, qui indique chercher activement du travail, ne conteste d'ailleurs pas réellement ce qui précède. 4.2.2 L'appelant soutient qu'il n'aurait en revanche pas la possibilité effective de retrouver du travail, indiquant avoir présenté sa candidature à plusieurs centaines de postes et fourni tous les efforts qu'on pouvait attendre de lui, notamment en suivant un stage d'évaluation aux EPI et un programme d'accompagnement de retour à l'emploi, sans décrocher d'autre emploi qu'une mission temporaire au mois de mai 2023. A teneur des attestations produites par l'appelant lui-même, la demande sur le marché de l'emploi dans le domaine de la comptabilité est cependant qualifiée de "normale à faible", et non de très faible ou d'inexistante, et</w:t>
      </w:r>
    </w:p>
    <w:p>
      <w:r>
        <w:t>- 19/27 -</w:t>
      </w:r>
    </w:p>
    <w:p>
      <w:r>
        <w:t>C/7078/2020 il y est relevé que des postes vacants correspondant à son profil existent, même s'ils sont sujets à une plus forte concurrence entre candidats depuis la pandémie de Covid-19. Malgré son âge, ses chances de retrouver un emploi de type comptable y sont qualifiées de prometteuses, compte tenu de ses qualifications et de son expérience. Dans ces conditions, le fait que l'appelant n'ait à ce jour pas retrouvé d'emploi stable n'apparaît pas dû au défaut de possibilité effective de trouver un emploi dans son domaine, mais au comportement de l'appelant lui-même. L'analyse de ses démarches, effectuée en 2022, démontre notamment que ses candidatures adressées à des employeurs potentiels étaient certes nombreuses, mais qu'elles n'étaient pas suffisamment adaptées aux offres d'emploi auxquelles elles donnaient suite. Or, comme l'a souligné le Tribunal, l'appelant n'a pas versé à la présente procédure les candidatures qu'il aurait adressées à dix employeurs par mois en moyenne depuis 2021, selon les décomptes produits, ni les réponses qu'il aurait reçues en retour (étant précisé qu'il n'est pas vraisemblable qu'il n'ait reçu aucune réponse, s'il a effectivement présenté sa candidature au nombre de postes indiqué). Il n'est donc pas possible de vérifier que l'appelant a depuis lors adapté ses actes de candidature, ni par conséquent de retenir qu'il a réellement fourni tous les efforts qu'on peut attendre de lui, en termes de recherches d'emploi, tant au niveau quantitatif qu'au niveau qualitatif. Il a également été constaté précédemment qu'un obstacle empêchant potentiellement l'appelant de retrouver un emploi était sa faible maîtrise du français, qui prétéritait ses chances auprès des employeurs locaux. Comme l'a retenu le Tribunal, il semble douteux que l'appelant ait depuis lors fourni les efforts qu'on pouvait attendre de lui pour surmonter ses difficultés sur ce point, comme il y était invité. La fréquence des cours suivis par l'appelant est en effet faible (deux à trois fois par mois, sans précision de la durée desdits cours) et les qualifications de l'enseignant choisi ne sont pas démontrées. A supposer que ces démarches soient suffisantes, il faudrait admettre que l'appelant a aujourd'hui effectivement comblé ses lacunes, son niveau de français étant jugé "très satisfaisant" selon l'attestation qu'il a lui-même versée à la procédure. Dans les deux cas, le niveau de français de l'appelant ne doit dès lors plus être considéré comme un obstacle valable à sa reprise effective d'un emploi, étant au surplus observé que le type d'emploi visé ne requiert pas de compétences rédactionnelles ou oratoires particulières dans une langue plutôt qu'une autre. Enfin, le fait que l'appelant se soit trouvé sans emploi durant plusieurs années constitue certes désormais un désavantage sur le marché du travail, mais ne permet pas d'exclure que celui-ci ait encore la possibilité concrète de retrouver un emploi. La récente exécution par l'appelant d'une mission temporaire devrait lui permettre de limiter ce désavantage et son abstinence à l'alcool et aux stupéfiants depuis 2021 devrait également favoriser son retour à l'emploi.</w:t>
      </w:r>
    </w:p>
    <w:p>
      <w:r>
        <w:t>- 20/27 -</w:t>
      </w:r>
    </w:p>
    <w:p>
      <w:r>
        <w:t>C/7078/2020 Partant, c'est à bon droit que le Tribunal a imputé un revenu hypothétique à l'appelant. Afin d'inciter celui-ci à poursuivre ses efforts, et pour ne pas le placer d'emblée dans une situation difficile, ce revenu lui sera cependant imputé dès la fin du mois suivant celui du prononcé du présent arrêt, soit dès le 1er juin 2024. 4.3 La quotité du revenu hypothétique imputé à l'appelant n'est pas spécifiquement contestée par celui-ci. Compte tenu de son absence prolongée du marché du travail, le Tribunal a notamment retenu à bon droit qu'il n'y avait pas lieu de lui imputer un revenu correspondant à celui qu'il réalisait auprès de son dernier employeur, lequel s'élevait à 9'728 fr. brut par mois. Le calculateur statistique de salaires de l'Office fédéral de la statistique ("Salarium"), utilisé par le Tribunal et basé sur les données de l'enquête suisse sur la structure des salaires dans le secteur privé en 2020, n'est cependant plus disponible, ni d'actualité. Selon le calculateur national de salaire du Secrétariat d'Etat à l'économie (SECO), la rémunération d'un comptable d'entreprise âgé de 51 ans, diplômé d'une haute école, sans année de service, sans fonction de cadre, commence à 6'920 fr. brut par mois pour quarante heures par semaine dans la région lémanique (1er quartile), tandis que celle d'un employé de bureau débute à 6'600 fr. brut par mois dans les mêmes conditions. Le revenu net correspondant peut être estimé à 5'800 fr. par mois, respectivement, 5'600 fr. par mois, ce qui indique que le salaire net de 5'300 fr. par mois imputé par le Tribunal à l'appelant n'est en aucun cas excessif. En l'absence d'appel joint, il sera donc retenu que l'appelant est effectivement en mesure de réaliser un salaire net de 5'300 fr. par mois. Il reste à examiner les autres éléments permettant de fixer l'obligation alimentaire de l'appelant envers sa fille. 5. L'appelant reproche au Tribunal d'avoir mal apprécié la situation financière des parties et l'entretien convenable de la mineure C______, ce qui l'aurait notamment conduit à mettre une contribution d'entretien excessive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