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ACJC/488/2021 vom 20. April 2021</w:t>
      </w:r>
    </w:p>
    <w:p>
      <w:r>
        <w:t>GE Cour de justice, 2021-04-20, FR</w:t>
      </w:r>
    </w:p>
    <w:p>
      <w:r>
        <w:rPr>
          <w:b/>
        </w:rPr>
        <w:t xml:space="preserve">Quelle: </w:t>
      </w:r>
      <w:r>
        <w:t>https://mcp.opencaselaw.ch/entscheid/ge_gerichte_ACJC_488_2021</w:t>
      </w:r>
    </w:p>
    <w:p>
      <w:r>
        <w:t>FR: GE_GERICHTE ACJC/488/2021 du 20 avril 2021</w:t>
      </w:r>
    </w:p>
    <w:p>
      <w:r>
        <w:t>IT: GE_GERICHTE ACJC/488/2021 del 20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26.04.2021.</w:t>
      </w:r>
    </w:p>
    <w:p>
      <w:r>
        <w:t>République et canton de Genève POUVOIR JUDICIAIRE Cour de justice civile Chambre civile</w:t>
      </w:r>
    </w:p>
    <w:p>
      <w:r>
        <w:t>Recourante : Intimée : A______ SÀRL c/o Me HARALABOPOULOS Melina HOUSE ATTORNEYS SA Route de Frontenex 46 Case postale 6111 1211 Genève 6</w:t>
      </w:r>
    </w:p>
    <w:p>
      <w:r>
        <w:t>B______ AG c/o B______ ______ ______ (ZH)</w:t>
      </w:r>
    </w:p>
    <w:p>
      <w:r>
        <w:t>C/2770/2021 ACJC/488/2021 DU MARDI 20 AVRIL 2021 Vu le jugement JTPI/4252/2021 du 25 mars 2021 prononçant la faillite de A______ SÀRL (ch. 1 du dispositif); Vu le recours contre ledit jugement formé le 19 avril 2021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JTPI/4252/2021 rendu par le Tribunal de première instance le 25 mars 2021 dans la cause C/2770/2021-1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