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ACJC/487/2021 vom 21. April 2021</w:t>
      </w:r>
    </w:p>
    <w:p>
      <w:r>
        <w:t>GE Cour de justice, 2021-04-21, FR</w:t>
      </w:r>
    </w:p>
    <w:p>
      <w:r>
        <w:rPr>
          <w:b/>
        </w:rPr>
        <w:t xml:space="preserve">Quelle: </w:t>
      </w:r>
      <w:r>
        <w:t>https://mcp.opencaselaw.ch/entscheid/ge_gerichte_ACJC_487_2021</w:t>
      </w:r>
    </w:p>
    <w:p>
      <w:r>
        <w:t>FR: GE_GERICHTE ACJC/487/2021 du 21 avril 2021</w:t>
      </w:r>
    </w:p>
    <w:p>
      <w:r>
        <w:t>IT: GE_GERICHTE ACJC/487/2021 del 21 aprile 2021</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consid. 2 = RSPC 2009 p. 193).</w:t>
      </w:r>
    </w:p>
    <w:p>
      <w:r>
        <w:rPr>
          <w:b/>
        </w:rPr>
        <w:t>E. 1.2</w:t>
      </w:r>
    </w:p>
    <w:p>
      <w:r>
        <w:t>En l'espèce, l'arrêt du Tribunal fédéral prononcé le 22 janvier 2021, réformant entièrement l'arrêt de la Cour du 5 mai 2020 et renvoyant la cause pour nouvelle décision sur les frais et dépens des instances cantonales, a pour effet de ramener la procédure, sur cette seule question des frais judiciaires et dépens, au stade où elle se trouvait immédiatement avant que la Cour ne se prononce. La Cour ne se trouve par conséquent pas saisie d'une nouvelle procédure, mais reprend la précédente, qui n'est pas close, faute de décision finale sur les frais et dépens. Il convient donc de statuer à nouveau sur ce point.</w:t>
      </w:r>
    </w:p>
    <w:p>
      <w:r>
        <w:rPr>
          <w:b/>
        </w:rPr>
        <w:t>E. 2.1</w:t>
      </w:r>
    </w:p>
    <w:p>
      <w:r>
        <w:t>Les frais (frais judiciaires et dépens) sont fixés selon le règlement fixant le tarif des frais en matière civile RTFMC; E 1 05.10), complété par les art. 19 à 26 LaCC. Ils sont, en principe, mis à la charge de la partie qui succombe (art. 95 et 106 al. 1 1ère phrase CPC). Lorsqu'aucune des parties n'obtient entièrement gain de cause, les frais sont répartis selon le sort de la cause (art. 106 al. 2 CPC). Les frais judiciaires sont compensés avec les avances fournies par les parties. La partie à qui incombe la charge des frais restitue à l'autre partie les avances que celle-ci a fournies et lui verse les dépens qui lui ont été alloués (art. 111 al. 1 et 2 CPC).</w:t>
      </w:r>
    </w:p>
    <w:p>
      <w:r>
        <w:t>- 7/11 -</w:t>
      </w:r>
    </w:p>
    <w:p>
      <w:r>
        <w:t>C/16647/2016 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 /2008 du 19 juin 2008 et arrêts cités).</w:t>
      </w:r>
    </w:p>
    <w:p>
      <w:r>
        <w:rPr>
          <w:b/>
        </w:rPr>
        <w:t>E. 2.2</w:t>
      </w:r>
    </w:p>
    <w:p>
      <w:r>
        <w:t>Le juge peut toutefois s'écarter de ces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lorsqu'une partie intente le procès de bonne foi (let. b) ou lorsque des circonstances particulières rendent la répartition en fonction du sort de la cause inéquitable (let. f. CPC). La notion de "bonne foi" prévue à l'art. 107 al. 1 let. b CPC implique que la partie avait des raisons dignes de protection d'agir. Cette disposition peut trouver application si le procès finalement perdu a été causé par une attitude critiquable ou prêtant à confusion du défendeur, créant une apparence justifiant d'une certaine manière le procès infondé dirigé contre lui, par exemple en cas d'erreur sur la légitimation passive si cette erreur était induite par des ambiguïtés qui lui étaient imputables ou lorsque c'est le comportement d'une partie qui a incité l'autre à agir. La bonne foi peut également résulter d'éléments indépendants des plaideurs, à l'exemple d'un revirement de jurisprudence survenu au cours du procès (TAPPY, Commentaire Romand, Code de procédure civile, 2ème éd. 2019, n. 15 ad art. 107 CPC et les références citées). La clause générale prévue à l'art. 107 al. 1 let. f CPC accorde au juge une latitude pour recourir à des considérations d'équité lorsque dans le cas concret, la mise des frais du procès à la charge de la partie qui succombe apparaît inéquitable. A titre d'exemples de "circonstances particulières" au sens de cette disposition, sont mentionnés un rapport de forces financières très inégal entre les parties (tel qu'un procès entre la victime d'un dommage et une assurance ou entre un petit actionnaire et une grande société), ou le comportement de la partie qui obtient gain de cause, qui soit a donné lieu à l'introduction de l'action, soit a occasionné des frais de procédure supplémentaires injustifiés (ATF 139 III 33 consid. 4.2, JdT 2013 II 328; arrêts du Tribunal fédéral 5D_69/2017 du 14 juillet 2017 consid. 3.3.1; 4A_535/2015 1er juin 2016 consid. 6.4.1; TAPPY, op. cit., n. 27 ad art. 107 CPC et les références citées).</w:t>
      </w:r>
    </w:p>
    <w:p>
      <w:r>
        <w:rPr>
          <w:b/>
        </w:rPr>
        <w:t>E. 2.3</w:t>
      </w:r>
    </w:p>
    <w:p>
      <w:r>
        <w:t>Selon son texte clair, l'art. 107 CPC est une disposition potestative. Il s'agit de permettre au juge de s'écarter du principe de répartition fondé sur le gain du procès, non d'y contraindre. Dans le champ d'application de cette norme, le</w:t>
      </w:r>
    </w:p>
    <w:p>
      <w:r>
        <w:t>- 8/11 -</w:t>
      </w:r>
    </w:p>
    <w:p>
      <w:r>
        <w:t>C/16647/2016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arrêts du Tribunal fédéral 5D_69/2017 précité, ibid; 5A_819/2017 du 20 mars 2018 consid. 12.3; TAPPY, op. cit., n. 4 ad art. 107 CPC). Compte tenu de la marge de manœuvre dont il dispose, le juge peut aussi retenir des solutions différenciées en fonction de la nature des frais en question (par ex. en renonçant à l'allocation de dépens tout en répartissant les frais judiciaires) ou du type d'affaire (p.ex. en prévoyant une répartition des frais proportionnelle aux parts des héritiers dans un procès en partage comme le prévoyaient certains codes cantonaux) (TAPPY, op. cit., n. 5 ad art. 107 CPC et les références citées). La répartition en équité au sens de l'art. 107 al. 1 CPC relève du droit et peut être librement revue par les juridictions supérieures aussi bien dans le cadre d'un appel selon les art. 308 ss CPC que d'un recours selon les art. 319 ss CPC. Il s'agit cependant de normes accordant au juge une large marge de manœuvre, de telle sorte que la juridiction supérieure ne substituera normalement pas sans retenue sa propre appréciation à celle de l'autorité inférieure (TAPPY, op. cit., n. 5 et 6 ad art. 107 CPC).</w:t>
      </w:r>
    </w:p>
    <w:p>
      <w:r>
        <w:rPr>
          <w:b/>
        </w:rPr>
        <w:t>E. 2.4</w:t>
      </w:r>
    </w:p>
    <w:p>
      <w:r>
        <w:t>Le défraiement d'un représentant professionnel est, en règle générale, proportionnel à la valeur litigieuse; il est fixé d'après l'importance de la cause, ses difficultés, l'ampleur du travail et le temps employé (art. 105 al. 2 CPC;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Pour les affaires pécuniaires, le défraiement prend pour base le tarif prévu; sans préjudice de l'art. 23 LaCC, il peut s'en écarter de plus ou moins 10% pour tenir compte des éléments rappelés à l'art. 84 RTFMC (art. 85 al. 1 RTFMC). Lorsque la valeur litigieuse se situe entre 160'000 fr. et 300'000 fr., les dépens s'élèvent à 14'500 fr. plus 3,5% de la valeur litigieuse dépassant 160'000 fr., plus ou moins 10% (art. 85 RTFMC). Au montant du tarif s'ajoutent la TVA et les débours en 10,7% au total (art. 25 et 26 LaCC). Le défraiement est réduit dans la règle d'un à deux tiers par rapport au tarif de l'art. 85 dans les procédures d'appel et de recours (art. 90 RTFMC). La valeur litigieuse est un élément à prendre en considération dans la fixation du défraiement de l'avocat, car elle influe sur la responsabilité de celui-ci; elle ne</w:t>
      </w:r>
    </w:p>
    <w:p>
      <w:r>
        <w:t>- 9/11 -</w:t>
      </w:r>
    </w:p>
    <w:p>
      <w:r>
        <w:t>C/16647/2016 saurait toutefois reléguer à l'arrière-plan le facteur de l'activité déployée par l'homme de loi, dont la rétribution doit rester dans un rapport raisonnable avec la prestation fournie (arrêts du Tribunal fédéral 5A_1007/2017 du 6 avril 2018 consid. 2.2.2 et 2.3.3; 5A_171/2014 du 14 juillet 2014 consid. 2.3.2 et les réf. cit; ACJC/941/2020 du 30 juin 2020 consid. 5.1 et 5.2; ACJC/1669/2019 du</w:t>
      </w:r>
    </w:p>
    <w:p>
      <w:r>
        <w:rPr>
          <w:b/>
        </w:rPr>
        <w:t>E. 6</w:t>
      </w:r>
    </w:p>
    <w:p>
      <w:r>
        <w:t>novembre 2019 consid. 2.1.2; CORBOZ, Commentaire de la LTF, 2014, n. 35 ad art. 68 LTF).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w:t>
      </w:r>
    </w:p>
    <w:p>
      <w:r>
        <w:t>2.5.1 En l'espèce, il est constant qu'à la suite de l'arrêt rendu par le Tribunal fédéral, les intimés ont été déboutés de l'intégralité de leurs conclusions en paiement et en prononcé de la mainlevée de l'opposition formée au commandement de payer qu'ils ont fait notifié aux appelants. Les intimés ont par conséquent entièrement succombé, de sorte qu'en principe, l'intégralité des frais et dépens des deux instances doit être mise à leur charge.</w:t>
      </w:r>
    </w:p>
    <w:p>
      <w:r>
        <w:t>Les intimés soutiennent avoir agi de bonne foi et sollicitent de ce chef une répartition en équité des frais et la compensation des dépens. Cet argument ne convainc pas. En effet, par courrier du 17 avril 2015, l'assureur des appelants les a informés de ce que leurs prétentions étaient prescrites. Ce n'est que le 28 août 2015 que les intimés ont notifié un commandement de payer aux appelants. Ils ont ensuite assigné ces derniers en paiement par acte déposé au Tribunal le 26 août 2016. Une répartition différente ne saurait se fonder sur l'art. 107 al. 1 let. f CPC, dans la mesure où il ne résulte pas du dossier qu'il existerait un rapport de forces financières très inégal entre les parties, ni que le comportement des appelants auraient donné lieu à l'introduction de l'action, ou auraient occasionné des frais de procédure supplémentaires injustifiés. Dans ces conditions, la Cour ne discerne pas en quoi la répartition des frais en fonction du sort de la cause serait inéquitable dans le cas concret. Il n'y a donc pas lieu de déroger aux principes généraux de répartition résultant de l'art. 106 CPC. 2.5.2 Les frais judiciaires des deux instances cantonales ont été arrêtés respectivement à 30'640 fr. et à 12'000 fr., sans que leur quotité ne fasse l'objet d'une contestation. Conformes à la loi (art. 95 al. 2 et 105 al. 1 CPC; art. 17 et 35 RTFMC), ces montants seront confirmés.</w:t>
      </w:r>
    </w:p>
    <w:p>
      <w:r>
        <w:t>- 10/11 -</w:t>
      </w:r>
    </w:p>
    <w:p>
      <w:r>
        <w:t>C/16647/2016 Ces frais seront mis à la charge de intimés, pris conjointement, et compensés avec les avances versées par les parties, qui restent acquises à l'Etat de Genève. Les intimés ayant versé 27'440 fr. d'avances devant le Tribunal et les appelants 3'200 fr., les intimés seront condamnés à rembourser 3'200 fr. à ce titre aux appelants, ainsi que 12'000 fr. de frais d'appel, soit une somme totale de 15'200 fr. 2.5.3 Dans son jugement du 29 octobre 2019, le Tribunal a arrêté les dépens de première instance à 19'775 fr., débours et TVA inclus. Ce montant, conforme aux dispositions légales pertinentes (art. 84 et 85 RTFMC; art. 20 al. 1, 23, 25 et 26 LaCC), n'a pas été remis en cause en appel par les appelants et sera donc retenu. Au regard de la seule valeur litigieuse, les dépens devraient être fixés à 18'360 fr. 95 (14'500 fr. plus 3,5% de la valeur litigieuse dépassant 160'000 fr., soit 3'860 fr. 95 (270'313 fr. 60 – 160'000 fr. x 3,5%), plus 10,7% de débours et TVA, soit un montant de 20'325 fr. 55. Il convient de réduire ce montant d'un à deux tiers, soit de 6'775 fr. 20 respectivement de 13'550 fr. 35, ramenant ainsi le montant des dépens à 13'550 fr. 35, respectivement à 6'775 fr. 20. Conformément aux principes rappelés sous consid. 2.4 supra, il y a lieu de prendre en compte, comme le requièrent les appelants, la valeur litigieuse, pour fixer les dépens d'appel, mais également le travail effectivement consacré par le conseil des appelants. Au vu de l'activité déployée par le conseil des appelants en procédure d'appel, qui a consisté à rédiger un mémoire d'appel de quinze pages, à prendre connaissance de l'écriture de réponse des intimés et à préparer une réplique de treize pages, les dépens de deuxième instance seront arrêtés à 12'200 fr., débours et TVA inclus (art. 84, 85 et 90 RTFMC; art. 25 et 26 LaCC). Les intimés seront ainsi condamnés à verser aux appelants le montant de 31'975 fr. (19'775 fr. + 12'200 fr.) aux appelants, à titre de dépens pour les deux instances cantonales. 3. Il n'y a pas lieu à allocation de dépens pour la rédaction des déterminations sur renvoi du Tribunal fédéral. De même, n'est-il pas perçu d'émolument pour la procédure sur renvoi. * * * * *</w:t>
      </w:r>
    </w:p>
    <w:p>
      <w:r>
        <w:t>- 11/11 -</w:t>
      </w:r>
    </w:p>
    <w:p>
      <w:r>
        <w:t>C/16647/2016 PAR CES MOTIFS, La Chambre civile : Statuant sur renvoi du Tribunal fédéral sur les frais et dépens des instances cantonales : Arrête les frais judiciaires des deux instances à 42'640 fr., entièrement compensés avec les avances fournies par les parties, acquises à l'Etat de Genève et les met à la charge de A______ et B______, solidairement entre eux. Condamne en conséquence A______ et B______, solidairement entre eux, à verser aux SERVICES INDUSTRIELS DE GENEVE 15'200 fr. à titre de remboursement de frais. Condamne A______ et B______, solidairement entre eux, à verser aux SERVICES INDUSTRIELS DE GENEVE la somme de 31'975 fr. à titre de dépens des deux instances. Dit qu'il n'y a pas lieu à perception de frais judiciaires, ni à fixation de dépens pour la procédure postérieure à l'arrêt de renvoi du Tribunal fédéral. Déboute les parties de toutes autres conclusions.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