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ACJC/487/2017 vom 27. April 2017</w:t>
      </w:r>
    </w:p>
    <w:p>
      <w:r>
        <w:t>GE Cour de justice, 2017-04-27, FR</w:t>
      </w:r>
    </w:p>
    <w:p>
      <w:r>
        <w:rPr>
          <w:b/>
        </w:rPr>
        <w:t xml:space="preserve">Quelle: </w:t>
      </w:r>
      <w:r>
        <w:t>https://mcp.opencaselaw.ch/entscheid/ge_gerichte_ACJC_487_2017</w:t>
      </w:r>
    </w:p>
    <w:p>
      <w:r>
        <w:t>FR: GE_GERICHTE ACJC/487/2017 du 27 avril 2017</w:t>
      </w:r>
    </w:p>
    <w:p>
      <w:r>
        <w:t>IT: GE_GERICHTE ACJC/487/2017 del 27 aprile 2017</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(cf. consid.2.1).</w:t>
      </w:r>
    </w:p>
    <w:p>
      <w:r>
        <w:rPr>
          <w:b/>
        </w:rPr>
        <w:t>E. 1.2</w:t>
      </w:r>
    </w:p>
    <w:p>
      <w:r>
        <w:t>Le recours, écrit et motivé, doit être formé dans un délai de dix jours à compter de la notification de la décision (art. 321 al. 1 et 2 CPC).</w:t>
      </w:r>
    </w:p>
    <w:p>
      <w:r>
        <w:t>Déposé selon la forme et dans le délai prescrits, le recours est recevable.</w:t>
      </w:r>
    </w:p>
    <w:p>
      <w:r>
        <w:rPr>
          <w:b/>
        </w:rPr>
        <w:t>E. 1.3</w:t>
      </w:r>
    </w:p>
    <w:p>
      <w:r>
        <w:t>Au stade de la requête et de l'ordonnance de séquestre, la procédure est unilatérale et le débiteur n'est pas entendu (art. 272 LP; ATF 133 III 589 consid.1; HOHL, op. cit., n. 1637).</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t>- 4/6 -</w:t>
      </w:r>
    </w:p>
    <w:p>
      <w:r>
        <w:t>C/3045/2017</w:t>
      </w:r>
    </w:p>
    <w:p>
      <w:r>
        <w:t>L'art. 322 CPC est par conséquent inapplicable dans un tel cas.</w:t>
      </w:r>
    </w:p>
    <w:p>
      <w:r>
        <w:rPr>
          <w:b/>
        </w:rPr>
        <w:t>E. 1.4</w:t>
      </w:r>
    </w:p>
    <w:p>
      <w:r>
        <w:t>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cf. arrêts du Tribunal fédéral 5A_828/2015 du 23 février 2016 consid. 4.2.2.2; 5A_268/2011 du 31 octobre 2011 consid. 3.1; 5P.355/2006 du 8 novembre 2006 consid. 4.1, publié in Pra 2007 (47) p. 305). Le droit suisse est dès lors applicable aux conditions d'octroi du séquestre alors que les conditions d'exigibilité de la dette sont réglées, in casu, par le contrat de prêt du 27 janvier 2012.</w:t>
      </w:r>
    </w:p>
    <w:p>
      <w:r>
        <w:rPr>
          <w:b/>
        </w:rPr>
        <w:t>E. 1.5</w:t>
      </w:r>
    </w:p>
    <w:p>
      <w:r>
        <w:t>Le recours est recevable pour violation du droit et pour constatation manifestement inexacte des faits (art. 320 CPC). L'autorité a un plein pouvoir d'examen en droit, mais un pouvoir limité à l'arbitraire en fait (HOHL, Procédure civile, Tome II, 2ème éd., 2010, n. 2307).</w:t>
      </w:r>
    </w:p>
    <w:p>
      <w:r>
        <w:rPr>
          <w:b/>
        </w:rPr>
        <w:t>E. 1.6</w:t>
      </w:r>
    </w:p>
    <w:p>
      <w:r>
        <w:t>La procédure de séquestre est soumise dans toutes ses phases à la maxime de disposition et à la maxime des débats (art. 58 al. 2 CPC; art. 255 CPC a contrario).</w:t>
      </w:r>
    </w:p>
    <w:p>
      <w:r>
        <w:rPr>
          <w:b/>
        </w:rPr>
        <w:t>E. 2</w:t>
      </w:r>
    </w:p>
    <w:p>
      <w:r>
        <w:t>La recourante conteste l'ordonnance attaquée en tant qu'elle a considéré que le cas de séquestre de l'art. 271 al. 1 ch. 4 LP n'était pas réalisé.</w:t>
      </w:r>
    </w:p>
    <w:p>
      <w:r>
        <w:rPr>
          <w:b/>
        </w:rPr>
        <w:t>E. 2.1.1</w:t>
      </w:r>
    </w:p>
    <w:p>
      <w:r>
        <w:t>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rPr>
          <w:b/>
        </w:rPr>
        <w:t>E. 2.1.2</w:t>
      </w:r>
    </w:p>
    <w:p>
      <w:r>
        <w:t>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w:t>
      </w:r>
    </w:p>
    <w:p>
      <w:r>
        <w:t>- 5/6 -</w:t>
      </w:r>
    </w:p>
    <w:p>
      <w:r>
        <w:t>C/3045/2017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p. 626, 627 consid. 2). Une reconnaissance de dette peut découler du rapprochement de plusieurs pièces, pour autant que les éléments nécessaires en résultent (ATF 136 III 627 consid. 2; 132 III 480 consid. 4.1; 122 III 125 consid. 2; ATF 106 III 97 consid. 3). Entre autres conditions, il appartient au poursuivant d'établir que la créance est exigible au moment de l'introduction de la poursuite (ATF 140 III 456 consid. 2.4; arrêt 5A_32/2011 du 16 février 2012 consid. 3 non publié aux ATF 138 III 182; 5A_845/2009 du 16 février 2010 consid. 7.1). Le contrat de prêt d'une somme déterminée constitue une reconnaissance de dette pour le remboursement du prêt, pour autant que le débiteur ne conteste pas avoir reçu la somme prêtée et que le remboursement soit exigible (ATF 136 III 627 consid. 2; arrêt 5A_326/2011 du 6 septembre 2011 consid. 3.2).</w:t>
      </w:r>
    </w:p>
    <w:p>
      <w:r>
        <w:rPr>
          <w:b/>
        </w:rPr>
        <w:t>E. 2.2</w:t>
      </w:r>
    </w:p>
    <w:p>
      <w:r>
        <w:t>En l'espèce, aucune pièce ne permet de retenir que l'emprunteur aurait fait défaut, ne remboursant pas les mensualités convenues. Aucun rappel de la recourante à l'emprunteur en raison d'un retard dans le paiement de ces dernières n'a, par exemple, été produit. Aucun courrier dénonçant le prêt n'a en outre été fourni. A cet égard, le courrier d'un huissier à l'emprunteur, réclamant le paiement de divers montants, ne constitue pas une telle dénonciation. De plus, ledit courrier fait état d'un solde de 14'746,85 euros de capital restant dû. Aucun décompte des sommes versées et des intérêts payés ne figure cependant au dossier, de sorte que le solde éventuel encore dû ne peut être déterminé, même sous l'angle de la simple vraisemblance. Le courrier d'huissier faisant état du solde précité est par ailleurs daté du 19 février 2014, soit il y a plus de trois ans, de sorte qu'il est peu vraisemblable que la recourante n'ait pas poursuivi ses démarches entamées et ainsi obtenu un remboursement, ne serait-ce que partiel, du montant mentionné. En définitive, c'est à bon droit que le Tribunal a considéré que l'exigibilité de la dette ou son montant n'avaient pas été rendus vraisemblables et qu'il a rejeté la requête de séquestre. Le recours sera dès lors rejeté.</w:t>
      </w:r>
    </w:p>
    <w:p>
      <w:r>
        <w:rPr>
          <w:b/>
        </w:rPr>
        <w:t>E. 3</w:t>
      </w:r>
    </w:p>
    <w:p>
      <w:r>
        <w:t>La recourante, qui succombe, supportera les frais de recours (art. 106 al. 1 CPC), arrêtés à 600 fr. (art. 48 et 61 al. 1 OELP) et compensés avec l'avance de frais fournie, qui reste acquise à l'Etat (art. 111 al. 1 CPC). * * * * *</w:t>
      </w:r>
    </w:p>
    <w:p>
      <w:r>
        <w:t>- 6/6 -</w:t>
      </w:r>
    </w:p>
    <w:p>
      <w:r>
        <w:t>C/3045/2017 PAR CES MOTIFS, La Chambre civile : A la forme : Déclare recevable le recours interjeté par A______ SA contre l'ordonnance SQ/204/2017 rendue le 9 mars 2017 par le Tribunal de première instance dans la cause C/3045/2017-4 SQP. Au fond : Rejette ce recours. Déboute les parties de toutes autres conclusions. Sur les frais : Arrête les frais judiciaires à 600 fr., les met à la charge de A______ SA et les compense avec l'avance fournie, qui reste acquise à l'Etat de Genève.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