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ACJC/486/2023 vom 13. April 2023</w:t>
      </w:r>
    </w:p>
    <w:p>
      <w:r>
        <w:t>GE Cour de justice, 2023-04-13, FR</w:t>
      </w:r>
    </w:p>
    <w:p>
      <w:r>
        <w:rPr>
          <w:b/>
        </w:rPr>
        <w:t xml:space="preserve">Quelle: </w:t>
      </w:r>
      <w:r>
        <w:t>https://mcp.opencaselaw.ch/entscheid/ge_gerichte_ACJC_486_2023</w:t>
      </w:r>
    </w:p>
    <w:p>
      <w:r>
        <w:t>FR: GE_GERICHTE ACJC/486/2023 du 13 avril 2023</w:t>
      </w:r>
    </w:p>
    <w:p>
      <w:r>
        <w:t>IT: GE_GERICHTE ACJC/486/2023 del 13 aprile 2023</w:t>
      </w:r>
    </w:p>
    <w:p>
      <w:pPr>
        <w:pStyle w:val="Heading2"/>
      </w:pPr>
      <w:r>
        <w:t>Erwägungen</w:t>
      </w:r>
    </w:p>
    <w:p>
      <w:r>
        <w:rPr>
          <w:b/>
        </w:rPr>
        <w:t>E. 1.1</w:t>
      </w:r>
    </w:p>
    <w:p>
      <w:r>
        <w:t>La décision portant refus de la restitution de délai requise peut être attaquée, au besoin, par un recours contre la décision finale (ATF 139 III 478 consid. 6.3; arrêts du Tribunal fédéral 4A_350/2017 du 12 juillet 2017 consid. 3.2.1; 4A_334/2016 du 7 juillet 2016 consid. 2.2). La décision finale a été rendue dans la présente procédure de sorte que la voie du recours est ouverte contre la décision de refus de restitution.</w:t>
      </w:r>
    </w:p>
    <w:p>
      <w:r>
        <w:rPr>
          <w:b/>
        </w:rPr>
        <w:t>E. 1.2</w:t>
      </w:r>
    </w:p>
    <w:p>
      <w:r>
        <w:t>Déposé selon la forme et le délai prescrits, le recours est recevable (art. 130, 321 al. 1 CPC).</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tomme II, 2ème éd., 2010, n. 2307).</w:t>
      </w:r>
    </w:p>
    <w:p>
      <w:r>
        <w:rPr>
          <w:b/>
        </w:rPr>
        <w:t>E. 1.4</w:t>
      </w:r>
    </w:p>
    <w:p>
      <w:r>
        <w:t>Les conclusions, les allégations de faits et les preuves nouvelles sont irrecevables en matière de recours (art. 326 CPC). Il s'ensuit que les faits nouvellement allégués par la recourante devant la Cour sont irrecevables.</w:t>
      </w:r>
    </w:p>
    <w:p>
      <w:r>
        <w:rPr>
          <w:b/>
        </w:rPr>
        <w:t>E. 2</w:t>
      </w:r>
    </w:p>
    <w:p>
      <w:r>
        <w:t>La recourante reproche au Tribunal de ne pas avoir fait droit à sa demande de restitution.</w:t>
      </w:r>
    </w:p>
    <w:p>
      <w:r>
        <w:t>- 4/6 -</w:t>
      </w:r>
    </w:p>
    <w:p>
      <w:r>
        <w:t>C/11900/2022</w:t>
      </w:r>
    </w:p>
    <w:p>
      <w:r>
        <w:rPr>
          <w:b/>
        </w:rPr>
        <w:t>E. 2.1</w:t>
      </w:r>
    </w:p>
    <w:p>
      <w:r>
        <w:t>La partie est défaillante lorsqu'elle omet d'accomplir un acte de procédure dans le délai prescrit ou ne se présente pas lorsqu'elle est citée à comparaître (art. 147 al. 1 CPC).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devant être présentée dans les dix jours qui suivent celui où la cause du défaut a disparu (al. 2).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(arrêt du Tribunal fédéral 5A_927/2015 du 22 décembre 2015 consid. 5.1 et les références). La faute légère vise tout comportement ou manquement qui, sans être acceptable ou excusable, n'est pas particulièrement répréhensible, tandis que la faute grave suppose la violation de règles de prudence élémentaires qui s'imposent impérieusement à toute personne raisonnable (arrêts du Tribunal fédéral 5A_927/2015 du 22 décembre 2015 consid. 5.1; 4A_163/2015 du 12 octobre 2015 consid. 4.1); A ainsi été jugée non fautive l'inobservation d'un délai dû à un accident, une maladie subite ou un accouchement qui a empêché la partie ou son mandataire d'agir ou de comparaître. Constituent une faute légère le non-respect du délai ou la non comparution résultant d'une erreur de lieu ou d'agenda; si un acte a effectivement été préparé dans le délai, mais n'a par mégarde pas été posté le jour même, voire si un autre acte a été envoyé par inadvertance, ou si le défaillant n'a pas effectivement connu le délai ou l'audience en question, fût-ce en raison d'un manquement de sa part (TAPPY, Commentaire Romand, Code de procédure, 2ème éd. 2019, n. 14 et 15 ad art. 148 CPC). Celui qui était au courant du délai ou de la convocation et les a sciemment ignorés ne commet pas une faute légère, quelles que soient les situations particulières qu'il pourrait invoquer (TAPPY, op. cit., n. 16 ad art. 148 CPC). L'art. 148 CPC laisse une grande marge d'appréciation au tribunal, la disposition étant formulée comme une "Kann-Vorschrift". Cela pourrait permettre à l'autorité compétente de refuser de restituer un délai même si les conditions requises par cette disposition sont remplies. Elle ne saurait agir arbitrairement, mais cette formulation pourrait justifier des pratiques variables selon les circonstances, le type de procédure, la nature du délai ou de l'audience dont la restitution est sollicitée, etc. (TAPPY, op. cit., n. 20 ad art. 148 CPC).</w:t>
      </w:r>
    </w:p>
    <w:p>
      <w:r>
        <w:t>- 5/6 -</w:t>
      </w:r>
    </w:p>
    <w:p>
      <w:r>
        <w:t>C/11900/2022</w:t>
      </w:r>
    </w:p>
    <w:p>
      <w:r>
        <w:rPr>
          <w:b/>
        </w:rPr>
        <w:t>E. 2.2</w:t>
      </w:r>
    </w:p>
    <w:p>
      <w:r>
        <w:t>En l'espèce, l'usage fait par le Tribunal de son pouvoir d'appréciation ne souffre pas la critique. En effet, la recourante, société anonyme, n'a apporté aucun élément devant le premier juge rendant vraisemblable son allégué selon lequel elle aurait dû se rendre en urgence le même jour en France auprès de l'un de ses fournisseurs, ni exposé en quoi, cas échéant, elle n'aurait pas été à même de déférer à la convocation du Tribunal par l'un de ses administrateurs, l'autre s'attachant à résoudre le supposé problème de fournisseur. C'est ainsi à bon droit que le Tribunal n'a pas restitué le délai et prononcé le jugement déféré sans convoquer une nouvelle audience.</w:t>
      </w:r>
    </w:p>
    <w:p>
      <w:r>
        <w:rPr>
          <w:b/>
        </w:rPr>
        <w:t>E. 2.3</w:t>
      </w:r>
    </w:p>
    <w:p>
      <w:r>
        <w:t>Le recours sera dès lors rejeté.</w:t>
      </w:r>
    </w:p>
    <w:p>
      <w:r>
        <w:rPr>
          <w:b/>
        </w:rPr>
        <w:t>E. 2.4</w:t>
      </w:r>
    </w:p>
    <w:p>
      <w:r>
        <w:t>A titre superfétatoire, il sera relevé qu'aux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Des factures ne valent pas reconnaissance de dette et ce, même si elles ne sont pas contestées (arrêt du Tribunal fédéral 5P.290/2006 du 12 octobre 2006 consid. 3.2). Ainsi, la facture produite par la recourante ne constitue pas une reconnaissance de dette, de sorte que celle-ci ne dispose pas d'un titre de mainlevée provisoire.</w:t>
      </w:r>
    </w:p>
    <w:p>
      <w:r>
        <w:rPr>
          <w:b/>
        </w:rPr>
        <w:t>E. 3</w:t>
      </w:r>
    </w:p>
    <w:p>
      <w:r>
        <w:t>Les frais judiciaires du recours seront arrêtés à 300 fr. (art. 25 RTFMC) et mis à la charge de la recourante, qui succombe (art. 106 al. 1 CPC). Ils seront entièrement compensés avec l'avance de frais fournie, qui reste acquise à l'Etat de Genève (art. 111 al. 1 CPC). La recourante sera également condamnée aux dépens de l'intimé, dont la réponse ne comportait que 3 pages, arrêtés à 400 fr., débours et TVA compris (art. 84, 85, 89 et 90 RTFMC; art. 23, 25 et 26 LaCC). * * * * *</w:t>
      </w:r>
    </w:p>
    <w:p>
      <w:r>
        <w:t>- 6/6 -</w:t>
      </w:r>
    </w:p>
    <w:p>
      <w:r>
        <w:t>C/11900/2022 PAR CES MOTIFS, La Chambre civile : A la forme : Déclare recevable le recours interjeté le 19 janvier 2023 par A______ SA contre le jugement JTPI/253/2023 rendu le 3 janvier 2023 par le Tribunal de première instance dans la cause C/11900/2022–25 SML. Au fond : Le rejette. Déboute les parties de toutes autres conclusions. Sur les frais : Arrête les frais judiciaires du recours à 300 fr., compensés avec l'avance de frais fournie, acquise à l'Etat de Genève, et les met à la charge de A______ SA. Condamne A______ SA à verser à B______ SA 400 fr. à titre de dépens de recours. Siégeant : Madame Pauline ERARD, présidente; Madame Sylvie DROIN, Madame Nathalie LANDRY-BARTHE, juges; Madame Laura SESSA, greffière. La présidente : Pauline ERARD</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