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ACJC/485/2016 vom 29. April 2015</w:t>
      </w:r>
    </w:p>
    <w:p>
      <w:r>
        <w:t>GE Cour de justice, 2015-04-29, FR</w:t>
      </w:r>
    </w:p>
    <w:p>
      <w:r>
        <w:rPr>
          <w:b/>
        </w:rPr>
        <w:t xml:space="preserve">Quelle: </w:t>
      </w:r>
      <w:r>
        <w:t>https://mcp.opencaselaw.ch/entscheid/ge_gerichte_ACJC_485_2016</w:t>
      </w:r>
    </w:p>
    <w:p>
      <w:r>
        <w:t>FR: GE_GERICHTE ACJC/485/2016 du 29 avril 2015</w:t>
      </w:r>
    </w:p>
    <w:p>
      <w:r>
        <w:t>IT: GE_GERICHTE ACJC/485/2016 del 29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w:t>
      </w:r>
    </w:p>
    <w:p>
      <w:r>
        <w:t>- 5/8 -</w:t>
      </w:r>
    </w:p>
    <w:p>
      <w:r>
        <w:t>C/20393/2012 Tribunal fédéral 4A_367/2010 du 4 octobre 2010 consid. 1.1; 4A_127/2008 du</w:t>
      </w:r>
    </w:p>
    <w:p>
      <w:r>
        <w:rPr>
          <w:b/>
        </w:rPr>
        <w:t>E. 1.2</w:t>
      </w:r>
    </w:p>
    <w:p>
      <w:r>
        <w:t>En l'espèce, au vu du loyer annuel minimum de 120'000 fr., charges non comprises,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juin 2008 consid. 1.1;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seule pièce nouvelle produite par l'appelante est un extrait du Registre du commerce, qui ne vise qu'à établir un fait notoire, puisque de tels extraits sont accessibles à chacun. Les faits notoires ne devant être ni allégués, ni prouvés, cette pièce nouvelle est recevable (arrêt du Tribunal fédéral 4A_645/2011 du 27 janvier 2012 consid. 3.4.2).</w:t>
      </w:r>
    </w:p>
    <w:p>
      <w:r>
        <w:rPr>
          <w:b/>
        </w:rPr>
        <w:t>E. 3.1</w:t>
      </w:r>
    </w:p>
    <w:p>
      <w:r>
        <w:t>Dans la mesure où les appelantes ne remettent plus en question la notification régulière des deux avis officiels de résiliation, seule la question relative à la légitimation active de la première appelante demeure litigieuse. Les appelantes soutiennent dans un premier moyen que la légitimation active de la première d'entre elles serait donnée, dans la mesure où la seconde ne serait que garante.</w:t>
      </w:r>
    </w:p>
    <w:p>
      <w:r>
        <w:t>Se pose dès lors la question de savoir à quel titre la seconde appelante est intervenue dans le contrat de bail.</w:t>
      </w:r>
    </w:p>
    <w:p>
      <w:r>
        <w:rPr>
          <w:b/>
        </w:rPr>
        <w:t>E. 3.2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w:t>
      </w:r>
    </w:p>
    <w:p>
      <w:r>
        <w:t>La recherche de la volonté réelle des parties est qualifiée d'interprétation subjective (ATF 132 III 626 consid. 3.1; 131 III 606 consid. 4.1). Si la volonté réelle des parties ne peut pas être établie ou si leurs volontés intimes divergent, le juge doit interpréter les déclarations et les comportements selon la théorie de la</w:t>
      </w:r>
    </w:p>
    <w:p>
      <w:r>
        <w:t>- 6/8 -</w:t>
      </w:r>
    </w:p>
    <w:p>
      <w:r>
        <w:t>C/20393/2012 confiance. Il doit donc rechercher comment une déclaration ou une attitude pouvait être comprise de bonne foi en fonction de l'ensemble des circonstances (interprétation dite objective; arrêt du Tribunal fédéral 4C.374/2006 du 15 mars 2007). Le principe de la confiance permet d'imputer à une partie le sens objectif de sa déclaration ou de son comportement, même si celui-ci ne correspond pas à sa volonté intime (ATF 130 III 417 consid. 3.2; 129 III 118 consid. 2.5; 128 III 419 consid. 2.2 et les références doctrinales).</w:t>
      </w:r>
    </w:p>
    <w:p>
      <w:r>
        <w:t>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p. 708).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(arrêt du Tribunal fédéral 4C.24/2007 du 26 avril 2007 consid. 5). Il en va ainsi, notamment, lorsque le débiteur est lié au garant par un contrat de société et que l'affaire concourt à la réalisation de leur but commun (ATF 129 III 702 consid. 2.6 p. 710).</w:t>
      </w:r>
    </w:p>
    <w:p>
      <w:r>
        <w:rPr>
          <w:b/>
        </w:rPr>
        <w:t>E. 3.3</w:t>
      </w:r>
    </w:p>
    <w:p>
      <w:r>
        <w:t>Tel est précisément le cas en l'espèce, puisque la seconde appelante est gérante de la première, avec signature individuelle. Elle a dès lors manifestement un intérêt direct et matériel dans l'affaire, lequel était reconnaissable par la bailleresse. L'interprétation subjective du contrat ne permet en outre pas de conclure que les parties souhaitaient, en réalité, opter pour un cautionnement, plutôt qu'un engagement solidaire. Il ressort d'ailleurs tant du contrat de bail du 20 avril 1999 que de l'avenant du 26 mars 2004 que les appelantes ont convenu d'être toutes deux locataires des locaux en cause, s'engageant pour le surplus conjointement et solidairement dans ledit contrat. Elles avaient au contraire pleinement conscience de cet engagement solidaire de la gérante, et ce n'est manifestement que pour les besoins de la cause et de surcroît très tardivement que les appelantes ont soutenu le contraire.</w:t>
      </w:r>
    </w:p>
    <w:p>
      <w:r>
        <w:t>Ce premier moyen sera ainsi rejeté.</w:t>
      </w:r>
    </w:p>
    <w:p>
      <w:r>
        <w:rPr>
          <w:b/>
        </w:rPr>
        <w:t>E. 3.4</w:t>
      </w:r>
    </w:p>
    <w:p>
      <w:r>
        <w:t>Dans un deuxième moyen, les appelantes prétendent que s'il devait être considéré qu'elles sont toutes deux colocataires, la clause de solidarité active prévue dans le contrat donnait la possibilité à l'une d'entre elles d'agir seule pour faire valoir ses droits, au sens de l'art. 150 CO.</w:t>
      </w:r>
    </w:p>
    <w:p>
      <w:r>
        <w:t>- 7/8 -</w:t>
      </w:r>
    </w:p>
    <w:p>
      <w:r>
        <w:t>C/20393/2012 Les appelantes se fondent à cet égard sur une jurisprudence ancienne du Tribunal fédéral (ATF 118 II 168 consid. 2), qui traitait d'un cas bien particulier, soit celui du logement de la famille dont les époux sont colocataires, qui ne saurait être comparé au présent cas d'espèce. Or, dans un arrêt récent publié (ATF 140 III 598 consid. 3.2), notre Haute Cour a retenu qu'un congé pouvait être contesté par un seul des colocataires, pour autant seulement qu'il assigne alors les autres colocataires, sous peine de se voir dénier la qualité pour agir, dans la mesure où l'action, formatrice, implique que le bail soit en définitive maintenu ou résilié envers toutes les parties. Dans la mesure où la première appelante n'a ni agi avec sa colocataire, ni assigné celle-ci, c'est à bon droit que les premiers juges lui ont dénié la légitimation active. Le fait que, dans un second temps, la colocataire soit intervenue dans la procédure n'y change rien. En effet, l'art. 70 al. 1 CPC prévoit que les consorts nécessaires doivent agir ou être actionnés conjointement, de sorte qu'une intervention ultérieure, soit en dehors du délai légal de trente jours pour contester le congé, comme c'est le cas en l'espèce, ne saurait guérir le vice. La jurisprudence (arrêt du Tribunal fédéral 4C.236/2003 du 30 janvier 2004) sur laquelle se fondent les appelantes pour faire valoir ce dernier moyen n'est pas pertinente, puisqu'elle traite d'un cas dans lequel la contestation a été faite au nom de tous les colocataires, par un représentant, lequel n'a pas été en mesure de démontrer, dans un premier temps, les pouvoirs qui lui avaient été confiés. Ce cas est donc différent de celui d'espèce.</w:t>
      </w:r>
    </w:p>
    <w:p>
      <w:r>
        <w:rPr>
          <w:b/>
        </w:rPr>
        <w:t>E. 3.5</w:t>
      </w:r>
    </w:p>
    <w:p>
      <w:r>
        <w:t>Au vu de ce qui précède, le jugement du Tribunal sera intégralement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C/20393/2012 PAR CES MOTIFS, La Chambre des baux et loyers : A la forme : Déclare recevable l'appel interjeté le 3 juin 2015 par A_____ et B_____ contre le jugement JTBL/578/2015 rendu le 29 avril 2015 par le Tribunal des baux et loyers dans la cause C/20393/2012-1 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