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ACJC/484/2020 vom 23. März 2020</w:t>
      </w:r>
    </w:p>
    <w:p>
      <w:r>
        <w:t>GE Cour de justice, 2020-03-23, FR</w:t>
      </w:r>
    </w:p>
    <w:p>
      <w:r>
        <w:rPr>
          <w:b/>
        </w:rPr>
        <w:t xml:space="preserve">Quelle: </w:t>
      </w:r>
      <w:r>
        <w:t>https://mcp.opencaselaw.ch/entscheid/ge_gerichte_ACJC_484_2020</w:t>
      </w:r>
    </w:p>
    <w:p>
      <w:r>
        <w:t>FR: GE_GERICHTE ACJC/484/2020 du 23 mars 2020</w:t>
      </w:r>
    </w:p>
    <w:p>
      <w:r>
        <w:t>IT: GE_GERICHTE ACJC/484/2020 del 23 marzo 2020</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prescrit et selon la forme requise par la loi (art. 321 al. 1 et 2 CPC),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la maxime des débats s'applique et la preuve des faits allégués doit être apportée par titre (art. 55 al. 1, 255 let. a a contrario et 254 CPC). Le principe de disposition est applicable (art. 58 al. 1 CPC).</w:t>
      </w:r>
    </w:p>
    <w:p>
      <w:r>
        <w:rPr>
          <w:b/>
        </w:rPr>
        <w:t>E. 2</w:t>
      </w:r>
    </w:p>
    <w:p>
      <w:r>
        <w:t>La recourante fait grief au Tribunal d'avoir retenu que la signature de l'intimée figurant sur la convention du 28 novembre 2018 était suspecte, de sorte que ce document ne valait pas titre de mainlevée provisoire selon l'art. 82 LP. Elle reproche au premier juge d'avoir violé son droit d'être entendue en s'abstenant de l'interpeller sur ce point, alors que l'intimée elle-même ne contestait pas avoir signé cette convention. Afin d'authentifier la reconnaissance de dette du 28 novembre 2018, la recourante s'est référée aux statuts de l'intimée (pièce 3 rec.), produits pour la première fois devant la Cour. 2.1.1 Selon l'art. 82 al. 1 LP, le créancier dont la poursuite se fonde sur une reconnaissance de dette constatée par acte authentique ou sous seing privé peut requérir la mainlevée provisoire. Le juge prononce la mainlevée si le débiteur ne rend pas immédiatement vraisemblable sa libération (art. 82 al. 2 LP).</w:t>
      </w:r>
    </w:p>
    <w:p>
      <w:r>
        <w:t>- 5/11 -</w:t>
      </w:r>
    </w:p>
    <w:p>
      <w:r>
        <w:t>C/13820/2019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La procédure de mainlevée provisoire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déduite en poursuite - et lui attribue force exécutoire (ATF 139 III 444 consid. 4.1.1; 132 III 140 consid. 4.1.1). 2.1.2 Au sens de l'art. 82 al. 1 LP, constitue une reconnaissance de dette l'acte authentique ou sous seing privé signé par le poursuivi ou son représentant, d'où ressort sa volonté de payer au poursuivant, sans réserve ni condition, une somme d'argent déterminée, ou aisément déterminable, et exigible (ATF 136 III 624 consid. 4.2.2; arrêt du Tribunal fédéral 5A_473/2015 du 6 novembre 2015 consid. 3). Lorsque la reconnaissance de dette est signée par un représentant du débiteur, la mainlevée provisoire dans la poursuite introduite contre le représenté ne peut être prononcée que sur le vu d'une pièce attestant des pouvoirs du représentant (ATF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2.1.3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w:t>
      </w:r>
    </w:p>
    <w:p>
      <w:r>
        <w:t>- 6/11 -</w:t>
      </w:r>
    </w:p>
    <w:p>
      <w:r>
        <w:t>C/13820/2019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consid. 4.1.2 et les références citées; arrêt du Tribunal fédéral 5A_435/2015 du 13 octobre 2015 consid. 3.2.1.2). Toutefois, pour refuser sans arbitraire le moyen libératoire du poursuivi, le juge n'a pas à être convaincu que l'imitation de la signature est exclue; il suffit que celle-ci ne soit pas plus vraisemblable que son authenticité (arrêt du Tribunal fédéral 5A_435/2015 précité consid. 3.2.2). 2.1.4 A teneur de l'art. 178 CPC - applicable également en procédure de mainlevée d'opposition (SCHWEIZER, in CR CPC, 2ème éd. 2019, n. 10 ad art. 178 CPC) -, la partie qui invoque un titre doit en prouver l'authenticité si la partie adverse le conteste sur la base de motifs suffisants. La seule contestation de l'authenticité ne suffit pas : elle doit reposer sur des motifs suffisants, soit des circonstances concrètes qu'il appartient à la partie adverse d'exposer, qui sont de nature à susciter auprès du juge des doutes sérieux quant à l'authenticité du contenu du titre ou de sa signature. Ce n'est que si la partie adverse parvient à susciter de tels doutes que la partie se prévalant du titre supporte le fardeau de la preuve de son authenticité (arrêt du Tribunal fédéral 4A_197/2016 du 4 août 2016 consid. 4.2 et les références citées). L'art. 178 CPC consacre ainsi le principe de la libre appréciation des preuves par le juge (SCHWEIZER, op. cit., n. 2 ad art. 178 CPC). En présence de doutes sérieux quant à l'authenticité d'un titre, le juge pourra administrer les preuves d'office, en exigeant cas échéant la production de l'original du titre dont seule une copie aurait été produite – conformément à l'art. 180 al. 1 CPC, également applicable en procédure de mainlevée d'opposition (SCHWEIZER, op. cit., n. 9 ad art. 178, n. 3 ad art. 180 CPC; MULLER, Schweizerische Zivilprozessordnung Kommentar, Brunner/Gasser/Schwander [éd.], 2ème éd., 2016, n. 8 ad art. 178 CPC). Il s'agit d'un cas d'application de l'art. 153 al. 2 CPC, lequel prévoit - en dérogation à la maxime des débats - une administration des preuves d'office lorsqu'il existe des motifs sérieux de douter de la véracité d'un fait non contesté (MULLER, ibid.). En pareil cas, le juge devra interpeller la partie qui s'en prévaut et l'inviter à rapporter la preuve complète de son authenticité (art. 56 et 154 CPC; MULLER, op. cit., n. 9 ad art. 178 CPC; arrêt HC/2017/692 [décision n. 208] de la Chambre des recours civile du Tribunal cantonal vaudois du 8 juin 2017 consid. 5.2).</w:t>
      </w:r>
    </w:p>
    <w:p>
      <w:r>
        <w:t>- 7/11 -</w:t>
      </w:r>
    </w:p>
    <w:p>
      <w:r>
        <w:t>C/13820/2019</w:t>
      </w:r>
    </w:p>
    <w:p>
      <w:r>
        <w:rPr>
          <w:b/>
        </w:rPr>
        <w:t>E. 2.2</w:t>
      </w:r>
    </w:p>
    <w:p>
      <w:r>
        <w:t>Selon l'art. 326 al. 1 CPC, les conclusions, les allégations de fait et les preuves nouvelles sont irrecevables. Cela étant, le régime de l'art. 326 al. 1 CPC doit être calqué sur celui de l'art. 99 al. 1 LTF - dont la teneur est la suivante : "Aucun fait nouveau ni preuve nouvelle ne peut être présenté à moins de résulter de la décision de l'autorité précédente" -, afin d'empêcher que la présentation des faits et preuves nouveaux soit soumise à une réglementation plus rigoureuse devant l'autorité cantonale que devant le Tribunal fédéral (ATF 139 III 466 consid. 3; JEANDIN, in CR CPC, op. cit.,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déterminants pour la recevabilité du recours (par ex. la date de notification de la décision attaquée) ou encore qui sont propres à contrer une argumentation de l'autorité précédente objectivement imprévisible pour les parties avant la réception de la décision. Le recourant qui entend se prévaloir de cette exception doit démontrer en quoi les conditions en sont remplies (arrêt du Tribunal fédéral 5A_904/2015 du 29 septembre 2016 consid. 2.3 et les références citées; ATF 136 III 4.4.3).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(ATF 136 III 123 consid. 4.4.3). 2.3.1 En l'espèce, il ressort de la "Convention de paiement échelonné" datée du 28 novembre 2018 - portant les signatures de la société poursuivie et de son administrateur unique - que l'intimée a reconnu devoir la somme de 222'817 fr. 66 à la recourante et qu'elle s'est engagée à rembourser sa dette par acomptes mensuels de 10'000 fr., payables le 7 de chaque mois, pour la première fois le 7 décembre 2018. Il résulte en outre des relevés bancaires versés au dossier que l'intimée s'est acquittée avec retard des mensualités de mars et d'avril 2019, de sorte que le solde impayé de 172'281 fr. 66 (222'817 fr. 66 – 50'000 fr.) était exigible au jour du dépôt de la réquisition de poursuite. Il suit de là qu'en soi, la convention susvisée constitue une reconnaissance de dette valant titre de mainlevée au sens de l'art. 82 LP.</w:t>
      </w:r>
    </w:p>
    <w:p>
      <w:r>
        <w:t>- 8/11 -</w:t>
      </w:r>
    </w:p>
    <w:p>
      <w:r>
        <w:t>C/13820/2019 2.3.2 Il est par ailleurs constant que l'intimée, bien que dûment convoquée, n'a pas comparu à l'audience du 28 octobre 2019 ni n'a remis en cause l'authenticité des signatures apposées sur la convention du 28 novembre 2018. La recourante, représentée à l'audience par son avocat, a quant à elle persisté dans ses conclusions, ensuite de quoi le Tribunal a gardé la cause à juger. Il résulte du procès-verbal d'audience que le premier juge n'a pas interpellé la recourante sur les motifs l'ayant conduit à douter de l'authenticité de la reconnaissance de dette; il n'a pas non plus invité la recourante à produire l'original de la convention du 28 novembre 2018 conformément à l'art. 180 al. 1 CPC. Si la différence de signatures observée entre la signature de l'intimée et celle de son administrateur unique, seul habilité à engager la société, est effectivement insolite, tel n'est pas le cas du deuxième motif évoqué par le Tribunal : ainsi, il est logique que la signature apposée sur le commandement de payer diffère de celle de E______, puisqu'il ne s'agit pas de la signature de ce dernier mais de celle de l'agent notificateur qui lui a remis l'acte. En tout état, le Tribunal ayant soulevé d'office le caractère suspect du titre de mainlevée, en dérogation à la maxime des débats applicable au litige, il lui appartenait également d'instruire d'office cette question - à tout le moins en interpellant la recourante sur les éléments sujets à caution et en lui donnant la possibilité de rendre vraisemblable l'authenticité du titre, en dépit de ces éléments, au moyen de pièces ou d'autres moyens de preuve immédiatement disponibles. Dès lors qu'il s'est abstenu de le faire, c'est avec raison que la recourante - qui a dûment comparu à l'audience du 28 octobre 2019 - reproche au Tribunal d'avoir violé son droit d'être entendue. 2.3.3 Au vu des circonstances décrites ci-avant, la recourante ne pouvait pas objectivement s'attendre à ce que le Tribunal rejette sa requête de mainlevée au motif que l'authenticité de la signature de l'intimée lui paraissait suspecte. La pièce nouvelle produite par la recourante, en tant qu'elle vise à démontrer que cette argumentation est contraire au droit, est donc recevable. A cet égard, la Cour constate que la signature de l'intimée apposée sur la convention du 28 novembre 2018 correspond à la signature de E______ figurant sur les statuts de l'intimée du 12 mars 1993. Il s'ensuit que la recourante a établi, au stade de la vraisemblance, que le titre de mainlevée dont elle se prévaut comporte la signature authentique de l'intimée. Contrairement à ce qu'a retenu le Tribunal, la recourante dispose ainsi d'un titre de mainlevée provisoire au sens de l'art. 82 al. 1 LP. L'intimée n'a pour sa part fait valoir aucun moyen libératoire en procédure. Par conséquent, le jugement entrepris sera annulé.</w:t>
      </w:r>
    </w:p>
    <w:p>
      <w:r>
        <w:t>- 9/11 -</w:t>
      </w:r>
    </w:p>
    <w:p>
      <w:r>
        <w:t>C/13820/2019 2.3.4 La cause étant en état d'être jugée (art. 327 al. 3 let. b CPC), la mainlevée provisoire de l'opposition formée au commandement de payer sera prononcée à concurrence de 172'817 fr. 66, sans que cette somme ne porte intérêts, la recourante n'ayant pas pris de conclusion en ce sens devant la Cour. Les frais de poursuite suivent quant à eux le sort de celle-ci (cf. art. 68 al. 1 LP), de sorte que la recourante sera déboutée de sa requête de mainlevée sur ce point.</w:t>
      </w:r>
    </w:p>
    <w:p>
      <w:r>
        <w:rPr>
          <w:b/>
        </w:rPr>
        <w:t>E. 3</w:t>
      </w:r>
    </w:p>
    <w:p>
      <w:r>
        <w:t>L'intimée, qui doit être considérée comme la partie succombante au sens de l'art. 106 al. 1 CPC, même si elle n'a pas pris de conclusions, en s'abstenant ou en omettant de procéder (cf. arrêt du Tribunal fédéral 4D_69/2017 du 8 mars 2018 consid. 6), sera condamnée aux frais judiciaires, arrêtés pour la première instance à 750 fr. et pour la seconde à 1'125 fr. (art. 48 et 61 OELP), lesquels seront compensés avec les avances fournies par la recourante, qui restent acquises à l'Etat de Genève. L'intimée sera donc condamnée à verser à la recourante le montant de 1'875 fr. L'intimée sera également condamnée aux dépens. Au vu de la valeur litigieuse et de l'activité déployée par le conseil de la recourante, qui s'est limitée à représenter celle-ci à l'audience de mainlevée, les dépens de première instance seront arrêtés à 3'000 fr., débours et TVA inclus (art. 85 et 89 RTFMC; art. 23, 25 et 26 LaCC). Les dépens de recours seront quant à eux fixés à 2'500 fr., débours et TVA inclus, (art. 85, 89 et 90 RTFMC; art. 23, 25 et 26 LaCC), ce qui tient compte de la difficulté de la cause et de l'ampleur du travail effectué. * * * * *</w:t>
      </w:r>
    </w:p>
    <w:p>
      <w:r>
        <w:t>- 10/11 -</w:t>
      </w:r>
    </w:p>
    <w:p>
      <w:r>
        <w:t>C/13820/2019</w:t>
      </w:r>
    </w:p>
    <w:p>
      <w:r>
        <w:t>PAR CES MOTIFS, La Chambre civile : A la forme : Déclare recevable le recours interjeté le 27 janvier 2020 par A______ SARL contre le jugement JTPI/579/2020 rendu le 14 janvier 2020 par le Tribunal de première instance dans la cause C/13820/2019-9 SML. Au fond : Annule le jugement attaqué et, statuant à nouveau : Prononce la mainlevée provisoire de l'opposition formée au commandement de payer, poursuite n° 1______, à concurrence de 172'817 fr. 66. Déboute les parties de toutes autres conclusions. Sur les frais : Arrête les frais judiciaires de première instance et de recours à 1'875 fr., les met à la charge de B______ SA et les compense avec les avances effectuées, qui restent acquises à l'Etat de Genève. Condamne B______ SA à verser à A______ SARL la somme de 1'875 fr. à titre de frais judiciaires de première instance et de recours. Condamne B______ SA à verser à A_____ SARL la somme de 5'500 fr. à titre de dépens de première instance et de recours. Siégeant : Monsieur Laurent RIEBEN, président; Madame Fabienne GEISINGER-MARIETHOZ et Madame Nathalie RAPP, juges; Madame Mélanie DE RESENDE PEREIRA, greffière.</w:t>
      </w:r>
    </w:p>
    <w:p>
      <w:r>
        <w:t>Le président : Laurent RIEBEN</w:t>
      </w:r>
    </w:p>
    <w:p>
      <w:r>
        <w:t>La greffière : Mélanie DE RESENDE PEREIRA</w:t>
      </w:r>
    </w:p>
    <w:p>
      <w:r>
        <w:t>- 11/11 -</w:t>
      </w:r>
    </w:p>
    <w:p>
      <w:r>
        <w:t>C/13820/2019</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