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ACJC/483/2014 vom 11. April 2014</w:t>
      </w:r>
    </w:p>
    <w:p>
      <w:r>
        <w:t>GE Cour de justice, 2014-04-11, FR</w:t>
      </w:r>
    </w:p>
    <w:p>
      <w:r>
        <w:rPr>
          <w:b/>
        </w:rPr>
        <w:t xml:space="preserve">Quelle: </w:t>
      </w:r>
      <w:r>
        <w:t>https://mcp.opencaselaw.ch/entscheid/ge_gerichte_ACJC_483_2014</w:t>
      </w:r>
    </w:p>
    <w:p>
      <w:r>
        <w:t>FR: GE_GERICHTE ACJC/483/2014 du 11 avril 2014</w:t>
      </w:r>
    </w:p>
    <w:p>
      <w:r>
        <w:t>IT: GE_GERICHTE ACJC/483/2014 del 11 aprile 2014</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w:t>
      </w:r>
    </w:p>
    <w:p>
      <w:r>
        <w:t>- 6/13 -</w:t>
      </w:r>
    </w:p>
    <w:p>
      <w:r>
        <w:t>C/4669/2013 portent également sur la question des contributions d'entretien, la valeur litigieuse en appel, au dernier état de ces conclusions devant le premier juge, doit être est supérieure à 10'000 fr. (art. 308 al. 2 CPC). Si la durée de la prestation périodique litigieuse est indéterminée ou illimitée, la valeur litigieuse correspond au montant annuel de cette prestation, multiplié par vingt (art. 92 al. 2 CPC). En l'espèce, le litige porte sur la contribution à l'entretien de la famille, soit une contestation de nature pécuniaire. L'appelant a conclu en dernier lieu devant le Tribunal à sa condamnation à verser à son épouse une contribution à l'entretien de la famille de 70 fr. par mois; l'intimée a réclamé une contribution mensuelle de 500 fr. par mois. La valeur litigieuse minimale en appel est dès lors supérieure à 10'000 fr. ([500 fr. – 70 fr.] x 12 x 20 = 103'200 fr.).</w:t>
      </w:r>
    </w:p>
    <w:p>
      <w:r>
        <w:t>La voie de l'appel est ainsi ouverte.</w:t>
      </w:r>
    </w:p>
    <w:p>
      <w:r>
        <w:t>Pour le surplus, le délai d'appel de dix jours fixé par l’art. 314 CPC a été respecté en l'espèce, de même que la forme de cet appel, telle qu'imposée par la loi (art. 130, 131 et 311 CPC).</w:t>
      </w:r>
    </w:p>
    <w:p>
      <w:r>
        <w:t>Le présent appel est dès lors recevable.</w:t>
      </w:r>
    </w:p>
    <w:p>
      <w:r>
        <w:rPr>
          <w:b/>
        </w:rPr>
        <w:t>E. 1.2</w:t>
      </w:r>
    </w:p>
    <w:p>
      <w:r>
        <w:t>La Cour revoit la cause en fait et en droit avec un plein pouvoir d'examen (art. 310 CPC). La procédure est soumise aux maximes inquisitoire et d'office illimitées, compte tenu de la présence d'un enfant mineur (art. 296 CPC). Par ailleurs, les mesures protectrices de l'union conjugale étant soumises à la procédure sommaire (art. 271 CPC), la cognition du juge est limitée à la simple vraisemblance des faits et à un examen sommaire du droit. Il suffit que les faits soient rendus simplement vraisemblables, l'exigence de célérité étant privilégiée par rapport à celle de sécurité du droit (HOHL, Procédure civile, Tome II, 2ème éd., 2010, n. 1901 p. 349; HALDY, La nouvelle procédure civile suisse, 2009, p. 71).</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w:t>
      </w:r>
    </w:p>
    <w:p>
      <w:r>
        <w:t>- 7/13 -</w:t>
      </w:r>
    </w:p>
    <w:p>
      <w:r>
        <w:t>C/4669/2013 insoutenable de considérer que les conditions de l'art. 317 al. 1 CPC s'appliquent également aux procédures soumises à la maxime inquisitoire (arrêts du Tribunal fédéral 5A_592/2011 du 31 janvier 2012, consid. 4.1; 5A_402/2011 du</w:t>
      </w:r>
    </w:p>
    <w:p>
      <w:r>
        <w:rPr>
          <w:b/>
        </w:rPr>
        <w:t>E. 5</w:t>
      </w:r>
    </w:p>
    <w:p>
      <w:r>
        <w:t>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 Bernasconi [éd.], 2011, p. 1394; TAPPY, Les voies de droit du nouveau Code de procédure civile, in JdT 2010 III p. 115 ss, 139)." En l'espèce, les pièces versées par les parties devant la Cour sont postérieures à la mise en délibération de la cause par le Tribunal ou permettent de déterminer la situation financière de chacune des parties et comportent les données nécessaires pour statuer sur la quotité des aliments à verser par le débirentier pour l'entretien de sa famille. Les documents concernés, ainsi que les éléments de faits qu'ils comportent, seront donc pris en considération. 2. 2.1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force de chose jugée l'emporte ainsi sur celui de la maxime d'office. 2.2 Dès lors, les ch. 1 à 5 et 11 du dispositif du jugement querellé, non remis en cause par l'appelant, sont entrés en force de chose jugée; en revanche, les ch. 9 et</w:t>
      </w:r>
    </w:p>
    <w:p>
      <w:r>
        <w:rPr>
          <w:b/>
        </w:rPr>
        <w:t>E. 5.1</w:t>
      </w:r>
    </w:p>
    <w:p>
      <w:r>
        <w:t>Lorsque la Cour de céans statue à nouveau, elle se prononce sur les frais fixés par le Tribunal (art. 318 al. 3 CPC). Dans la présente affaire, le premier juge a arrêté à 1'000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w:t>
      </w:r>
    </w:p>
    <w:p>
      <w:r>
        <w:rPr>
          <w:b/>
        </w:rPr>
        <w:t>E. 5.2</w:t>
      </w:r>
    </w:p>
    <w:p>
      <w:r>
        <w:t>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d'appel sont fixés à 1'250 fr. (art. 96, 104 al. 1, 105 et 106 CPC; art. 31 et 37 du Règlement fixant le tarif des frais en matière civile [RTFMC; E 1 05.10]) et mis à charge des parties par moitié, vu qu'aucune d'entre elles n'obtient entièrement gain de cause. L'appelant étant au bénéfice de l'assistance judiciaire, les frais dont il est débiteur (625 fr.) seront provisoirement supportés par l'Etat (art. 122 al. 1 let. b et al. 2, 123 al. 1 CPC et 19 du Règlement sur l'assistance juridique et l'indemnisation des conseils juridiques et défenseurs d'office en matière civile, administrative et pénale [RAJ; E 2 05.04]). Pour des motifs d'équité liés à la nature du litige, les parties conserveront leurs propres dépens à leur charge (art. 95 al. 1 let. b et al. 3, 104 al. 1, 105 al. 2 et 107 al. 1 let. c CPC). 6. L'arrêt de la Cour, statuant sur mesures protectrices de l'union conjugale, est susceptible d'être l'objet d'un recours en matière civile, les moyens étant limités en application de l'art. 98 LTF. * * * * *</w:t>
      </w:r>
    </w:p>
    <w:p>
      <w:r>
        <w:t>- 12/13 -</w:t>
      </w:r>
    </w:p>
    <w:p>
      <w:r>
        <w:t>C/4669/2013 PAR CES MOTIFS, La Chambre civile : A la forme : Déclare recevable l'appel interjeté le 22 novembre 2013 par A______ contre les chiffres 6 à 8 du dispositif du jugement JTPI/14853/2013 rendu le 6 novembre 2013 par le Tribunal de première instance dans la cause C/4669/2013-6. Au fond : Dit que les chiffres 1 à 5 et 11 du dispositif de ce jugement sont entrés en force de chose jugée. Annule le chiffre 6 du dispositif de ce jugement. Cela fait, statuant à nouveau : Condamne A______ à verser à B______, par mois et d'avance allocations familiales non comprises, la somme de 500 fr. à titre de contribution à l'entretien de sa famille dès le 1er novembre 2013. Confirme pour le surplus les chiffres 7 et 8 du jugement entrepris. Déboute les parties de toutes autres conclusions. Sur les frais de première instance et d'appel : Confirme les chiffres 9 et 10 du dispositif du jugement querellé. Arrête les frais judiciaires de l'appel à 1'250 fr. et les mets à la charge des parties chacune pour moitié. Dit que la part A______ est provisoirement supportée par l'Etat. Condamne B______ à verser 625 fr. aux Services financiers du pouvoir judiciaire. Dit que chacune des parties garde ses propres dépens d'appel à sa charge. Siégeant : Madame Valérie LAEMMEL-JUILLARD, présidente; Madame Nathalie LANDRY- BARTHE, Monsieur Laurent RIEBEN, juges; Madame Audrey MARASCO, greffière.</w:t>
      </w:r>
    </w:p>
    <w:p>
      <w:r>
        <w:t>La présidente : Valérie LAEMMEL-JUILLARD</w:t>
      </w:r>
    </w:p>
    <w:p>
      <w:r>
        <w:t>La greffière : Audrey MARASCO</w:t>
      </w:r>
    </w:p>
    <w:p>
      <w:r>
        <w:t>- 13/13 -</w:t>
      </w:r>
    </w:p>
    <w:p>
      <w:r>
        <w:t>C/4669/2013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de ce dispositif, relatifs aux frais de première instance, pourront encore être revus d'office, en cas d'annulation de tout ou partie du jugement entrepris dans le cadre du présent appel (art. 318 al. 3 CPC). 3. L'appelant reproche au Tribunal d'avoir admis qu'il était en mesure de réaliser un revenu hypothétique avec effet rétroactif au jour du dépôt de la requête.</w:t>
      </w:r>
    </w:p>
    <w:p>
      <w:r>
        <w:t>- 8/13 -</w:t>
      </w:r>
    </w:p>
    <w:p>
      <w:r>
        <w:t>C/4669/2013 En revanche, il ne conteste pas le montant de la contribution à l'entretien de la famille fixé par le premier juge. 3.1 Si la suspension de la vie commune est fondée, le juge fixe la contribution pécuniaire à verser par l'une des partie à l'autre (art. 176 al. 1 ch1 1 CC) et il ordonne les mesures nécessaires aux enfants mineurs d'après les dispositions sur les effets de la filiation (art. 176 al. 3 CC). Le principe et le montant de la contribution d'entretien se déterminent en fonction des facultés économiques et des besoins respectifs des époux (ATF 121 I 97 consid. 3b; 118 II 376 consid. 20b et les références citées). Le législateur n'a pas arrêté de mode de calcul à cette fin.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5A_218/2012 du 29 juin 2012 consid. 3.3.3; 5A_99/2011 du 26 septembre 2011 consid. 7.4.1 non publié aux ATF 137 III 602 = FamPra.ch 2012 p. 228; 5A_18/2011 du 1er juin 2011 consid. 3.1.1; 5A_290/2010 du 28 octobre 2010 consid. 3.1 = SJ 2011 I 177). Si le débiteur qui diminue volontairement son revenu alors qu'il sait ou doit savoir qu'il doit assumer des obligations d'entretien peut raisonnablement se voir imputer un revenu hypothétique, ce avec effet rétroactif au jour de la diminution (ATF 137 III 118 consid. 3.1).Un délai peut être refusé, et un revenu hypothétique rétroactif peut être retenu si l'intéressé n'accompli aucune démarche en vue de se procurer du travail, bien qu'il dispose d'une pleine capacité de gain, dont on pouvait attendre de lui qu'il la mette en œuvre (arrêt du Tribunal fédéral 5P.170/2004 du 1er juillet 2004 consid. 1.2.2 = PJA 2004 p. 1419).</w:t>
      </w:r>
    </w:p>
    <w:p>
      <w:r>
        <w:t>- 9/13 -</w:t>
      </w:r>
    </w:p>
    <w:p>
      <w:r>
        <w:t>C/4669/2013 La répartition du disponible entre les époux ne doit pas conduire à procéder à un pur calcul mathématique; la fixation de la contribution d'entretien dépend en définitive du large pouvoir d'appréciation du juge (art. 4 CC; arrêt du Tribunal fédéral 5C.23/2002 du 21 juin 2002 consid. 2b). En vertu du droit à des conditions minimales d'existence garanti par l'art. 12 Cst. (ATF 121 I 367 consid. 2 p. 370), l'obligation d'entretien trouve sa limite dans la capacité contributive du débirentier, en ce sens que le minimum vital de celui-ci doit être préservé (ATF 137 III 59 consid. 4.2.1 = SJ 2011 I 221; 135 III 66 consid. 10 = JdT 2010 I 167; 123 III 1 consid. 3b/bb p. 4-5 et consid. 5 in fine; arrêt du Tribunal fédéral 5A_464/2012 du 30 novembre 2012 consid. 4.6.2. et les références citées). 3.2 En l'espèce, l'appelant n'a exercé véritablement aucune activité lucrative depuis son arrivée en Suisse en 2010. La famille a ainsi vécu des seules rentes invalidité de l'intimée. Ayant été contraint de quitter le domicile conjugal au début mars 2013, l'appelant a pris un premier emploi à temps partiel auprès d'une chaîne de restauration rapide n'exigeant aucune qualification, ce qui lui a permis d'être engagé immédiatement. On ne saurait lui reprocher d'avoir pris le premier emploi qui lui était offert alors qu'il se trouvait sans ressources au lieu d'attendre de trouver un travail à plein temps. L'appelant a ensuite déployé des efforts pour trouver un emploi mieux rémunéré, preuve en est qu'il a signé un contrat de travail pour une activité à plein temps au début du mois d'octobre 2013. Dès lors, si c'est à juste titre que le Tribunal a retenu un revenu hypothétique à l'encontre de l'appelant, ce que ce dernier ne critique pas, il n'était en revanche pas justifié que cela fût avec effet rétroactif au jour du dépôt de la demande et ce n'est qu'à partir du prononcé du jugement, au mois de novembre 2013, qu'un revenu hypothétique pouvait être imputé à l'appelant. Or, à cette date, ce dernier a perçu son premier salaire pour son travail à plein temps, montant qui s'approche (env. 3'216 fr. net y compris la déduction de la LPP) du revenu hypothétique (3'130 fr. net) retenu par le premier juge. A cela s'ajoute que tant l'intimée que l'enfant disposaient, lors du dépôt de la demande, des revenus nécessaires pour couvrir largement leurs charges puisque la première avait un revenu mensuel net de 5'570 fr. pour des charges admissibles de 3'400 fr. et que l'enfant avait une rente de 624 fr. ainsi que des allocations de 300 fr., soit 924 fr. par mois, pour des charges mensuelles admissibles de 504 fr. 35. Par conséquent, il sera donné acte à l'appelant de son engagement, qui paraît approprié, de verser à son épouse la somme de 500 fr. par mois et d'avance,</w:t>
      </w:r>
    </w:p>
    <w:p>
      <w:r>
        <w:t>- 10/13 -</w:t>
      </w:r>
    </w:p>
    <w:p>
      <w:r>
        <w:t>C/4669/2013 allocations familiales non comprises, à l'entretien de la famille dès le 1er novembre 2013. 4. L'appelant tient les mesures d'éloignement prononcées par le Tribunal pour disproportionnées et le dépeignent faussement comme une personne actuellement dangereuse envers son épouse. 4.1 Selon l'art. 172 al. 3 CC, le juge, au besoin, prend, à la requête d'un époux, les mesures prévues par la loi; la disposition relative à la protection de la personnalité en cas de violence, de menaces et de harcèlement est applicable par analogie. A cet égard, l'art. 28b al. 1 CC prévoit qu'en cas de violence, de menaces ou de harcèlement, le demandeur peut requérir le juge d'interdire à l'auteur de l'atteinte, en particulier, de l'approcher ou d'accéder à un périmètre déterminé autour de son logement (ch. 1)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Lorsqu'il prend des mesures pour protéger la victime, le juge doit respecter le principe fondamental de la proportionnalité. L'art. 28b CC ne prévoit pas de limite temporelle aux mesures. Le juge décide du caractère limité ou illimité dans le temps de la mesure selon son pouvoir discrétionnaire. Le juge prend la mesure qui est suffisamment efficace pour la victime et la moins incisive pour l'auteur de l'atteinte (FF 2005 p. 6451). 4.2 En l'espèce, les actes de violences – lésions corporelles simples, menaces et injures - exercées par l'appelant sur l'intimée du temps de la vie commune étaient suffisamment graves pour conduire à une condamnation pénale de l'appelant et justifiaient le prononcé de mesures d'éloignement par le premier juge. Ces dernières mesures respectent le principe de proportionnalité, puisque l'éloignement a été circonscrit aux distances de 300 mètres du domicile de l'intimée et de 100 mètres de celle-ci, et que le passage de l'enfant pour le droit de visite se déroule dans un Point rencontre. Les arguments de l'appelant, qui fait valoir que son épouse ne le craint pas, que cette mesure n'a pour seule conséquence d'envenimer un conflit et le fait</w:t>
      </w:r>
    </w:p>
    <w:p>
      <w:r>
        <w:t>- 11/13 -</w:t>
      </w:r>
    </w:p>
    <w:p>
      <w:r>
        <w:t>C/4669/2013 apparaître comme une personne menaçante alors qu'il ne l'est pas, ne sont étayés par aucun fait nouveau devant la Cour de justice. Le chiffre 7 du dispositif du jugement entrepris sera en conséquence confirmé.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