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ACJC/478/2022 vom 7. April 2022</w:t>
      </w:r>
    </w:p>
    <w:p>
      <w:r>
        <w:t>GE Cour de justice, 2022-04-07, FR</w:t>
      </w:r>
    </w:p>
    <w:p>
      <w:r>
        <w:rPr>
          <w:b/>
        </w:rPr>
        <w:t xml:space="preserve">Quelle: </w:t>
      </w:r>
      <w:r>
        <w:t>https://mcp.opencaselaw.ch/entscheid/ge_gerichte_ACJC_478_2022</w:t>
      </w:r>
    </w:p>
    <w:p>
      <w:r>
        <w:t>FR: GE_GERICHTE ACJC/478/2022 du 7 avril 2022</w:t>
      </w:r>
    </w:p>
    <w:p>
      <w:r>
        <w:t>IT: GE_GERICHTE ACJC/478/2022 del 7 aprile 2022</w:t>
      </w:r>
    </w:p>
    <w:p>
      <w:pPr>
        <w:pStyle w:val="Heading2"/>
      </w:pPr>
      <w:r>
        <w:t>Erwägungen</w:t>
      </w:r>
    </w:p>
    <w:p>
      <w:r>
        <w:rPr>
          <w:b/>
        </w:rPr>
        <w:t>E. 1.1</w:t>
      </w:r>
    </w:p>
    <w:p>
      <w:r>
        <w:t>Selon l'art. 308 al. 1 let. a CPC, l'appel est recevable contre les décisions finales et les décisions incidentes de première instance; dans les affaires patrimoniales, l'appel est recevable si la valeur litigieuse au dernier état des conclusions est de 10'000 fr. au moins. Selon l'art. 237 al. 1 CPC, le Tribunal peut rendre une décision incidente lorsque l'instance de recours pourrait prendre une décision contraire qui mettrait fin au procès et permettrait de réaliser une économie de temps ou de frais appréciable. En l'espèce, la décision sur la légitimation passive est une décision incidente immédiatement attaquable au sens de l'art. 237 CPC, puisque le prononcé par la Cour de céans d’une décision contraire aurait pour conséquence de mettre fin au procès, contre laquelle la voie de l'appel est ouverte au vu de la valeur litigieuse supérieure à 10'000 fr.</w:t>
      </w:r>
    </w:p>
    <w:p>
      <w:r>
        <w:rPr>
          <w:b/>
        </w:rPr>
        <w:t>E. 1.2</w:t>
      </w:r>
    </w:p>
    <w:p>
      <w:r>
        <w:t>Interjeté dans le délai utile et suivant la forme prescrite par la loi (art. 130, 131, 142 al. 1 et 3, 145 al. 1 let b et 311 al. 1 CPC), l'appel est recevable.</w:t>
      </w:r>
    </w:p>
    <w:p>
      <w:r>
        <w:rPr>
          <w:b/>
        </w:rPr>
        <w:t>E. 1.3</w:t>
      </w:r>
    </w:p>
    <w:p>
      <w:r>
        <w:t>La Cour revoit la cause en fait et en droit avec un plein pouvoir d'examen, dans les limites posées par les maximes des débats et de disposition applicables au présent litige (art. 55 al. 1, 58 al. 1 et 310 CPC).</w:t>
      </w:r>
    </w:p>
    <w:p>
      <w:r>
        <w:rPr>
          <w:b/>
        </w:rPr>
        <w:t>E. 2</w:t>
      </w:r>
    </w:p>
    <w:p>
      <w:r>
        <w:t>L'appelant reproche au Tribunal d'avoir considéré qu'il était lié à l'intimée par un contrat de mandat et d'avoir ainsi admis sa légitimation passive dans la présente procédure tendant au paiement d'honoraires. 2.1.1 La légitimation active ou passive est l'aspect subjectif du rapport juridique invoqué en justice. Elle concerne le fondement matériel de la demande et son absence se traduit par un déboutement au fond. La légitimation active appartient</w:t>
      </w:r>
    </w:p>
    <w:p>
      <w:r>
        <w:t>- 8/13 -</w:t>
      </w:r>
    </w:p>
    <w:p>
      <w:r>
        <w:t>C/26008/2018 en principe au titulaire du droit litigieux, respectivement, s'agissant de la légitimation passive, à celui contre qui le droit est dirigé (arrêt du Tribunal fédéral 4A_1/2014 du 26 mars 2014 consid. 2.3; ATF 116 II 253 consid. 3). 2.1.2 Le mandat est un contrat par lequel le mandataire s’oblige, dans les termes de la convention, à gérer l’affaire dont il s’est chargé ou à rendre les services qu’il a promis (art. 394 al. 1 CO). Hormis quelques exceptions (p. ex : cautionnement, ordre de crédit, désignation d'un exécuteur testamentaire), le mandat est un contrat consensuel dont la validité de dépend pas du respect d'une forme particulière (WERRO, CR-CO I, 2021, n. 12 et 13 ad art. 395 CO).c 2.1.3 Selon l'art. 1 al. 1 CO, le contrat est parfait lorsque les parties ont, réciproquement et d'une manière concordante, manifesté leur volonté. Le contrat se définit comme l’échange d’au moins deux manifestations de volonté réciproques et concordantes, destinées à produire un effet juridique. Les auteurs de ces manifestations de volonté forment en principe les parties au contrat (cf. toutefois CO 32), respectivement les cocontractants, sous réserve de l'art. 32 CO, régissant la représentation (arrêt du Tribunal fédéral 553/2020 du 16 février 2021 consid. 4.1 ; MORIN, CR-CO I, 2021, n. 2 ad art. 1 CO). En droit suisse des contrats, la question de savoir si les parties ont conclu un accord est soumise au principe de la priorité de la volonté subjective sur la volonté objective (ATF 144 III 93 consid. 5.2.1; 123 III 35 consid. 2b). Lorsque les parties se sont exprimées de manière concordante (échange de manifestations de volonté concordantes),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(ATF 144 III 93 consid. 5.2.1).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144 III 93 consid. 5.2.1; 123 III 35 consid. 2b; GAUCH/SCHLUEP/SCHMID, Schweizerisches Obligationenrecht, Allgemeiner Teil, vol. I, 11e éd. 2020, n. 308 ss). 2.1.4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w:t>
      </w:r>
    </w:p>
    <w:p>
      <w:r>
        <w:t>- 9/13 -</w:t>
      </w:r>
    </w:p>
    <w:p>
      <w:r>
        <w:t>C/26008/2018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 arrêt du Tribunal fédéral 4A_643/2020 du 22 octobre 2021 consid. 4.2.1).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 arrêt du Tribunal fédéral 4A_643/2020 du 22 octobre 2021 consid. 4.2.2). 2.1.5 Les droits et les obligations dérivant d’un contrat fait au nom d’une autre personne par un représentant autorisé passent au représenté (art. 32 al. 1 CO). La représentation directe au sens de l'art. 32 CO suppose que le représentant agisse au nom du représenté. Il doit manifester - expressément ou tacitement (ATF 126 III 59 consid. 1b)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être établie en fait (interprétation subjective), l'existence du rapport de représentation doit être retenue si le tiers pouvait l'inférer du comportement du représentant, interprété selon le principe de la confiance (interprétation objective) (art. 32 al. 2 CO; ATF 146 III 121 consid. 3.2.1 et les arrêts cités ; arrêt du Tribunal fédéral. 4A_310/2020 du 30 juin 2021 consid. 3.2). 2.2.1 En l'espèce, l'appelant se prévaut du fait qu'aucun contrat écrit n'ait été signé entre lui-même et l'intimée pour nier l'existence d'un contrat de mandat. Cet argument n'emporte toutefois pas la conviction dès lors que l'absence d'un contrat écrit peut être expliquée de diverses manières, notamment par un souhait des parties – en particulier de l'appelant et de son conseil de l'époque – de préserver la confidentialité de leur accord, dont l'objet consistait dans la mise en place d'une structure ayant pour but d'empêcher tout lien entre l'appelant et la société à créer. C'est ainsi que Me I______ ne mentionnait l'appelant dans ses échanges de courrier avec l'intimée que comme</w:t>
      </w:r>
    </w:p>
    <w:p>
      <w:r>
        <w:t>- 10/13 -</w:t>
      </w:r>
    </w:p>
    <w:p>
      <w:r>
        <w:t>C/26008/2018 "notre client commun" afin que son nom n'apparaisse pas. Par conséquent, c'est à juste titre que le premier juge a considéré que l'absence de contrat signé n'excluait pas que les parties soient liées par un contrat de mandat. L'appelant s'est ensuite attelé à démontrer que chaque document pris individuellement ne démontrait pas l'existence d'un contrat de mandat liant les parties. Si effectivement le "client information form" constitue un document interne établi par l'intimée et le formulaire A signé par l'appelant n'a juridiquement qu'une portée fiscale, en revanche, d'autres documents, même s'il ne s'agit pas de contrats écrits, permettent de retenir que les parties étaient liées par un contrat. Ainsi, l'appelant a signé les conditions générales de l'intimée, ce qui ne s'explique que par le fait qu'un contrat ait lié les parties, et l'appelant a, à plusieurs reprises, donné des ordres à l'intimée, ce qu'il n'aurait pas pu faire s'il n'en avait été le client. En outre, tous les documents produits pris ensembles, auquel s'ajoutent les déclarations de l'appelant devant le Tribunal, démontrent qu'un tel contrat liait les parties. En effet, le courrier de Me H______ du 11 décembre 2000 prouve que ce conseil était celui de l'appelant et qu'il le représentait auprès de l'intimée jusqu'à ce que Me I______ lui succède, de sorte que le contenu du "client information form" – selon lequel Me H______ a représenté l'appelant en demandant à l'intimée de créer une société au nom de G______ LTD et de faire fonctionner la structure composée de G______ LTD et de F______ LTD – peut être tenu pour conforme à la volonté des parties. L'appelant ne fait pas valoir que ses conseils auraient agi en l'absence de pouvoir ; il a expressément admis devant le Tribunal que Me I______ était bien son conseil et qu'il avait pour tâche de veiller au maintien de la structure en place. Il a d'ailleurs déclaré avoir rémunéré son conseil pour le maintien de ladite structure. Le formulaire A signé par l'appelant prouve qu'il était l'ayant droit économique de G______ LTD et les conditions générales signées par l'appelant le désignent comme le client, G______ LTD n'étant que la société gérée. Tous ces éléments permettaient au premier juge de retenir que la commune et réelle intention des parties étaient de conclure un contrat de mandat dont le contenu était que l'intimée, à la demande de l'appelant, mette en place une structure impliquant notamment la création de la société G______ LTD et le fonctionnement de celle- ci. Contrairement à ce que fait valoir l'appelant, il ne peut être retenu que la société G______ LTD serait la partie cocontractante de l'intimée puisque la création de cette société était l'objet du contrat de mandat. Cette société étant alors inexistante, elle ne pouvait mandater Me H______ pour qu'il la représente dans le cadre de la conclusion du contrat avec l'intimée. L'ensemble des documents produits fait d'ailleurs référence à "un client", qui plus est une personne physique qui avait déménagé de France en Suisse, et non à la société G______ LTD. Les factures n'ont d'ailleurs pas été acquittées par le débit d'un compte bancaire qui appartiendrait à la société. En outre, bien après la création des sociétés, l'appelant a donné, à plusieurs reprises, des ordres à l'intimée, notamment s'agissant de</w:t>
      </w:r>
    </w:p>
    <w:p>
      <w:r>
        <w:t>- 11/13 -</w:t>
      </w:r>
    </w:p>
    <w:p>
      <w:r>
        <w:t>C/26008/2018 transfert d'argent, ce qu'il n'aurait pas pu faire s'il n'était pas lié à l'intimée par un contrat de mandat. Ajouté au fait que, dès l'origine, les prestations concernées devaient être apportées dans l'intérêt exclusif de l'appelant, ces nombreux indices conduisent à admettre – comme l'a fait le premier juge – l'existence d'une relation contractuelle entre l'intimée et l'appelant. Dès lors, l'appel n'est pas fondé et le jugement attaqué doit être confirmé en tant qu'il statue que l'appelant possède la légitimation passive s'agissant de la prétention de l'intimée en paiement de ses honoraires pour les frais de fonctionnement de la structure. Tout autre est la question de savoir cette rémunération est due, ce qui devra être déterminé par le Tribunal dans le cadre de son jugement au fond.</w:t>
      </w:r>
    </w:p>
    <w:p>
      <w:r>
        <w:rPr>
          <w:b/>
        </w:rPr>
        <w:t>E. 3</w:t>
      </w:r>
    </w:p>
    <w:p>
      <w:r>
        <w:t>L'appelant, qui succombe entièrement, sera condamné aux frais d'appel, arrêtés à 2'000 fr. (art. 36 du règlement fixant le tarif des frais en matière civile du 22 décembre 2010 (RTFMC - E 1 05.10). Ils seront compensés avec l'avance de frais de 1'000 fr. fournie par l'appelant, qui reste acquise à l'Etat de Genève (art. 111 al. 1 CPC). Il sera en outre condamné à verser à l'intimée la somme de 2'000 fr., débours et TVA compris, à titre de dépens d'appel (art. 84, 85 et 87 du règlement fixant le tarif des frais en matière civile du 22 décembre 2010 [RTFMC - E 1 05.10], art. 23, 25 et 26 de la loi d'application du code civil suisse et autres lois fédérales en matière civile du 28 novembre 2010 [LaCC - E 1 05]). Il n'y a pas lieu pour le surplus, contrairement à ce qu'aurait souhaité l'intimée en se prévalant de l'art. 108 CPC, de préciser que ces dépens resteront à la charge de l'appelant quelle que soit l'issue finale de la procédure, dès lors que, bien qu'infondé, l'appel ne peut être qualifié d'inutile au sens de cette disposition. * * * * *</w:t>
      </w:r>
    </w:p>
    <w:p>
      <w:r>
        <w:t>- 12/13 -</w:t>
      </w:r>
    </w:p>
    <w:p>
      <w:r>
        <w:t>C/26008/2018 PAR CES MOTIFS, La Chambre civile : A la forme : Déclare recevable l'appel interjeté le 14 septembre 2021 par A______ contre le jugement JTPI/9826/2021 rendu le 28 juillet 2021 par le Tribunal de première instance dans la cause C/26008/2018. Au fond : Confirme ce jugement. Déboute les parties de toutes autres conclusions. Sur les frais : Arrête les frais judiciaires d'appel à 2'000 fr., dit qu'ils sont partiellement compensés avec l'avance fournie, qui demeure acquise à l'Etat de Genève, et les met à la charge de A______. Condamne A______ à verser à l'Etat de Genève, soit pour lui les Services financiers du Pouvoir judiciaire, la somme de 1'000 fr. à titre de frais judiciaires d'appel. Condamne A______ à verser à B______ SA la somme de 2'000 fr. à titre de dépens d'appel. Siégeant : Monsieur Laurent RIEBEN, président; Monsieur Patrick CHENAUX, Madame Fabienne GEISINGER-MARIETHOZ, juges; Madame Sophie MARTINEZ, greffière.</w:t>
      </w:r>
    </w:p>
    <w:p>
      <w:r>
        <w:t>Indication des voies de recours :</w:t>
      </w:r>
    </w:p>
    <w:p>
      <w:r>
        <w:t>- 13/13 -</w:t>
      </w:r>
    </w:p>
    <w:p>
      <w:r>
        <w:t>C/26008/2018</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