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ACJC/478/2014 vom 16. April 2014</w:t>
      </w:r>
    </w:p>
    <w:p>
      <w:r>
        <w:t>GE Cour de justice, 2014-04-16, FR</w:t>
      </w:r>
    </w:p>
    <w:p>
      <w:r>
        <w:rPr>
          <w:b/>
        </w:rPr>
        <w:t xml:space="preserve">Quelle: </w:t>
      </w:r>
      <w:r>
        <w:t>https://mcp.opencaselaw.ch/entscheid/ge_gerichte_ACJC_478_2014</w:t>
      </w:r>
    </w:p>
    <w:p>
      <w:r>
        <w:t>FR: GE_GERICHTE ACJC/478/2014 du 16 avril 2014</w:t>
      </w:r>
    </w:p>
    <w:p>
      <w:r>
        <w:t>IT: GE_GERICHTE ACJC/478/2014 del 16 aprile 2014</w:t>
      </w:r>
    </w:p>
    <w:p>
      <w:pPr>
        <w:pStyle w:val="Heading2"/>
      </w:pPr>
      <w:r>
        <w:t>Erwägungen</w:t>
      </w:r>
    </w:p>
    <w:p>
      <w:r>
        <w:rPr>
          <w:b/>
        </w:rPr>
        <w:t>E. 1.1</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w:t>
      </w:r>
    </w:p>
    <w:p>
      <w:r>
        <w:t>Le jugement dont la modification est sollicitée condamnait l'appelant à verser une contribution de 750 fr. en faveur de chacun de ses deux enfants jusqu'à 15 ans, puis 850 fr. dès 15 ans. Dans ses écritures de première instance, il a conclu au versement de 1'000 fr. mensuellement pour ses deux enfants. La valeur litigieuse est dès lors supérieure à 10'000 fr. (750 fr. x 2 enfants x 12 mois x 20 ans = 360'000 fr.), de sorte que la voie de l'appel est ouverte.</w:t>
      </w:r>
    </w:p>
    <w:p>
      <w:r>
        <w:t>- 7/16 -</w:t>
      </w:r>
    </w:p>
    <w:p>
      <w:r>
        <w:t>C/1223/2013 L'appel a été interjeté dans le délai de trente jours (art. 311 al. 1 CPC) et suivant la forme prescrite par la loi (art. 130, 131, 311 al. 1 CPC). Il est ainsi recevable. Sont également recevables l'écriture responsive de l'intimée (art. 248 let. d, 312 al. 1 et 314 al. 1 CPC) ainsi que la détermination subséquente de l'appelant (ATF 138 I 154 consid. 2.3.3; 137 I 195 consid. 2.3.1 = SJ 2011 I p. 345; 133 I 98 consid. 2.1 et 2.2 = JdT 2007 I 379; 133 I 100 consid. 4.8).</w:t>
      </w:r>
    </w:p>
    <w:p>
      <w:r>
        <w:rPr>
          <w:b/>
        </w:rPr>
        <w:t>E. 1.2</w:t>
      </w:r>
    </w:p>
    <w:p>
      <w:r>
        <w:t>La Cour revoit la cause avec un plein pouvoir d'examen (art. 310 CPC; HOHL, Procédure civile, tome II, 2010, n. 2314 et 2416; RETORNAZ, op. cit., n. 121, p. 349 ss). Les maximes d'office et inquisitoire illimitée s'appliquent, compte tenu de la présence d'enfants mineurs (art. 296 CPC).</w:t>
      </w:r>
    </w:p>
    <w:p>
      <w:r>
        <w:rPr>
          <w:b/>
        </w:rPr>
        <w:t>E. 2.1</w:t>
      </w:r>
    </w:p>
    <w:p>
      <w:r>
        <w:t>La Cour examine, en principe, d'office la recevabilité des pièces produites en appel (REETZ/HILBER, Kommentar zur Schweizerischen Zivilprozessordnung, 2013, 2ème éd.,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w:t>
      </w:r>
    </w:p>
    <w:p>
      <w:r>
        <w:rPr>
          <w:b/>
        </w:rPr>
        <w:t>E. 2.2</w:t>
      </w:r>
    </w:p>
    <w:p>
      <w:r>
        <w:t>En l'espèce, les pièces nouvelles produites par l'appelant concernent sa situation familiale, qui peut avoir un impact sur ses enfants mineurs, de sorte qu'elles sont recevables, ainsi que les allégués de fait s'y rapportant.</w:t>
      </w:r>
    </w:p>
    <w:p>
      <w:r>
        <w:rPr>
          <w:b/>
        </w:rPr>
        <w:t>E. 3</w:t>
      </w:r>
    </w:p>
    <w:p>
      <w:r>
        <w:t>L'appelant fait en premier lieu valoir que le jugement de divorce, en tant qu'il concerne les contributions à l'entretien des enfants, serait nul en vertu de l'art. 27 CC.</w:t>
      </w:r>
    </w:p>
    <w:p>
      <w:r>
        <w:rPr>
          <w:b/>
        </w:rPr>
        <w:t>E. 3.1</w:t>
      </w:r>
    </w:p>
    <w:p>
      <w:r>
        <w:t>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 L'art. 27 al. 2 CC prescrit que nul ne peut aliéner sa liberté, ni s'en interdire l'usage dans une mesure contraire aux lois</w:t>
      </w:r>
    </w:p>
    <w:p>
      <w:r>
        <w:t>- 8/16 -</w:t>
      </w:r>
    </w:p>
    <w:p>
      <w:r>
        <w:t>C/1223/2013 et aux mœurs. Le Tribunal fédéral considère qu'un engagement excessif au sens de l'art. 27 al. 2 CC contrevient aux bonnes mœurs et partant est nul ou partiellement nul en vertu de l'art. 20 CO (ATF 129 III 209 consid. 2.2 traduit in SJ 2003 I 374).</w:t>
      </w:r>
    </w:p>
    <w:p>
      <w:r>
        <w:t>La protection instituée par l'art. 27 al. 2 CC a un aspect double. L'ordre public prohibant que la sphère strictement personnelle puisse être l'objet d'un engagement, l'aliénation de la liberté souffre une interdiction absolue. Dans les autres domaines, seuls les engagements qui limitent excessivement la liberté d'un individu sont prohibés (BUCHER, Commentaire bernois, n. 114 et 127 ad art. 27 CC). Ainsi, une atteinte aux bonnes mœurs ne peut être relevée d'office que dans le cas où le contrat porte atteinte à la sphère strictement personnelle d'une personne. Tant que le lien contractuel est en soi admissible et que seule la mesure de l'engagement est qualifiée d'excessive, il n'y a pas d'atteinte aux bonnes mœurs - donc de nullité - mais seulement une atteinte à la personnalité (ATF 129 III 209 consid. 2.2 et les références citées). Il découle du but de l'art. 27 al. 2 CC que l'engagement excessif ne devrait entraîner la nullité du contrat que si la personne atteinte entend se prévaloir de la protection de l'art. 27 al. 2 CC et se libérer de son engagement. En effet, la liberté d'une personne doit comprendre celle de renoncer à la protection de l'art. 27 al. 2 CC et de remplir un engagement contractuel jugé objectivement excessif, sans que le respect des bonnes mœurs dans l'intérêt public n'ait à en souffrir (ibid.). La sanction est l'annulabilité ex nunc (GUILLOD/STEFFEN, Commentaire romand, n. 96 ad art. 19-20 CO).</w:t>
      </w:r>
    </w:p>
    <w:p>
      <w:r>
        <w:t>L'art. 27 al. 2 CC vise notamment des engagements de nature économique qui sont à tel point extraordinaires que la personne concernée se voit privée, dans une mesure excessive, de sa liberté de décision pour l'avenir (BUCHER, Personnes physiques et protection de la personnalité, § 433). Le Tribunal fédéral a ainsi déduit des art. 19 al. 2 CO et 27 al. 2 CC que la caution ne pouvait garantir une dette que si celle-ci était suffisamment déterminée; la clause d'un contrat de cautionnement par laquelle elle consentait d'avance à tout changement de débiteur principal, ou garantissait toutes les dettes, sans être en mesure de se représenter clairement la nature et l'étendue du risque assumés, devait être considérée comme nulle (ATF 120 II 35 consid. 3a). Les restrictions contractuelles qui soumettent le contractant à l'arbitraire de l'autre partie, ou par lesquelles il abandonne sa liberté économique ou encore limite celle-ci dans une mesure qui met en danger les fondements de son existence économique, sont nulles (ATF 114 II 159 consid. 2a). Un contrat conclu pour l'éternité est également nul (ATF 93 II 290 consid. 7). Un engagement de nature pécuniaire n'est pas contraire aux mœurs du seul fait qu'il met en péril l'existence économique du débiteur; il doit encore avoir pour effet que le débiteur limite ou abandonne sa liberté de décision d'une manière qui le soit aussi (ATF 95 II 55; 88 II 174; BUCHER, op. cit., § 436).</w:t>
      </w:r>
    </w:p>
    <w:p>
      <w:r>
        <w:t>- 9/16 -</w:t>
      </w:r>
    </w:p>
    <w:p>
      <w:r>
        <w:t>C/1223/2013</w:t>
      </w:r>
    </w:p>
    <w:p>
      <w:r>
        <w:t>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w:t>
      </w:r>
    </w:p>
    <w:p>
      <w:r>
        <w:rPr>
          <w:b/>
        </w:rPr>
        <w:t>E. 3.2</w:t>
      </w:r>
    </w:p>
    <w:p>
      <w:r>
        <w:t>L'appelant allègue que, dans la mesure où l'engagement pris dépasse sa capacité contributive de 562 fr. 60 depuis 2011 et de 246 fr. 55 par mois depuis 2013, les bases de son existence économique sont mises en danger, ce qui le rendrait contraire à l'art. 27 al. 2 CC.</w:t>
      </w:r>
    </w:p>
    <w:p>
      <w:r>
        <w:t>En 2010, soit l'année où l'appelant a, avec son épouse, saisi le Tribunal d'une requête commune en divorce, accompagnée d'une convention qu'il avait signée, il percevait des indemnités de chômage de l'ordre de 3'500 fr. nets par mois. La demande en divorce fait état de charges de l'appelant de 2'140 fr. 35. Il s'était alors engagé à verser 750 fr. par enfant et par mois.</w:t>
      </w:r>
    </w:p>
    <w:p>
      <w:r>
        <w:t>L'appelant s'est déclaré d'accord, à l'audience du 3 mai 2011 devant le Tribunal, à verser une contribution à l'entretien de chaque enfant de 750 fr. par mois jusqu'à leurs 15 ans, puis de 1'000 fr. jusqu'à leur majorité. La situation de l'appelant s'était modifiée, dès lors qu'il était à nouveau employé et percevait un salaire mensuel net de 3'790 fr. 60.</w:t>
      </w:r>
    </w:p>
    <w:p>
      <w:r>
        <w:t>Le loyer de l'appartement était de 934 fr., sa propre prime d'assurance de 287 fr. 10. Il ne payait pas d'impôts mais versait 333 fr. mensuellement à titre de remboursement de crédit.</w:t>
      </w:r>
    </w:p>
    <w:p>
      <w:r>
        <w:t>Ses charges incompressibles s'élevaient ainsi à 1'540 fr. 10, soit la moitié du loyer, la prime LAMal, les frais de transport (70 fr.), le paiement du crédit et le montant de base OP (1'700 fr. / 2).</w:t>
      </w:r>
    </w:p>
    <w:p>
      <w:r>
        <w:t>Il disposait dès lors d'un solde mensuel de 2'250 fr. 50.</w:t>
      </w:r>
    </w:p>
    <w:p>
      <w:r>
        <w:t>A la suite de la naissance de C______, il avait indiqué régler sa prime d'assurance maladie de 93 fr. Les charges de cet enfant étaient presque couvertes (assurance et montant de base OP) par le subside d'assurance et les allocations familiales.</w:t>
      </w:r>
    </w:p>
    <w:p>
      <w:r>
        <w:t>La compagne de l'appelant, qui percevait quelque 1'500 fr. par mois, réalisait un salaire de l'ordre de 600 fr. à la suite de la naissance de C______, selon les dires de l'appelant.</w:t>
      </w:r>
    </w:p>
    <w:p>
      <w:r>
        <w:t>- 10/16 -</w:t>
      </w:r>
    </w:p>
    <w:p>
      <w:r>
        <w:t>C/1223/2013</w:t>
      </w:r>
    </w:p>
    <w:p>
      <w:r>
        <w:t>L'appelant ne s'est en conséquence pas obligé dans une mesure qui allait au-delà de ses capacités financières. Cet engagement n'est pas excessif et ne l'atteint pas dans sa liberté.</w:t>
      </w:r>
    </w:p>
    <w:p>
      <w:r>
        <w:rPr>
          <w:b/>
        </w:rPr>
        <w:t>E. 3.3</w:t>
      </w:r>
    </w:p>
    <w:p>
      <w:r>
        <w:t>Partant, tant son accord que le jugement l'entérinant sont valables. L'appelant sera débouté de ses conclusions sur ce point et le jugement entrepris confirmé.</w:t>
      </w:r>
    </w:p>
    <w:p>
      <w:r>
        <w:rPr>
          <w:b/>
        </w:rPr>
        <w:t>E. 4</w:t>
      </w:r>
    </w:p>
    <w:p>
      <w:r>
        <w:t>L'appelant se plaint d'une mauvaise appréciation de ses charges et de l'inégalité de traitement, concernant la contribution d'entretien, entre ses trois enfants.</w:t>
      </w:r>
    </w:p>
    <w:p>
      <w:r>
        <w:t>Il requiert une diminution de la contribution d'entretien pour D______ et E______, ses charges ayant augmenté depuis la naissance de C______, sa compagne ne travaillant plus.</w:t>
      </w:r>
    </w:p>
    <w:p>
      <w:r>
        <w:rPr>
          <w:b/>
        </w:rPr>
        <w:t>E. 4.1</w:t>
      </w:r>
    </w:p>
    <w:p>
      <w:r>
        <w:t>Selon l'art. 286 al. 2 CC, applicable par renvoi de l'art. 134 al. 2 CC, si la situation change notablement, le juge modifie ou supprime la contribution d'entretien à la demande du père, de la mère ou de l'enfant.</w:t>
      </w:r>
    </w:p>
    <w:p>
      <w:r>
        <w:t>Cette modification ou suppression suppose que des faits nouveaux importants et durables surviennent après le prononcé du jugement initial, qui commandent une réglementation différente. La procédure de modification n'a pas pour but de corriger le premier jugement, mais de l'adapter aux circonstances nouvelles (arrêt du Tribunal fédéral 5A_697/2009 du 4 mars 2010 consid. 4.1;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w:t>
      </w:r>
    </w:p>
    <w:p>
      <w:r>
        <w:t>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d'autres part, qui servent de fondement pour décider si la situation s'est modifiée de manière durable et importante. Le moment déterminant pour apprécier si des</w:t>
      </w:r>
    </w:p>
    <w:p>
      <w:r>
        <w:t>- 11/16 -</w:t>
      </w:r>
    </w:p>
    <w:p>
      <w:r>
        <w:t>C/1223/2013 circonstances nouvelles se sont produites est la date du dépôt de la demande de modification du jugement de divorce (arrêt du Tribunal fédéral 5A_487/2010 du 3 mars 2011 consid. 2.1.1.). Ce n'est que si la charge d'entretien devient déséquilibrée entre les parents qu'une modification ou suppression de la contribution d'entretien selon l'art. 286 al. 2 CC peut entrer en considération (ATF 137 III 604 consid. 4.1.1.; 134 III 337 consid. 2.2.2). En principe, l'amélioration de la situation du détenteur de l'autorité parentale ne peut justifier la diminution de la contribution d'entretien due par l'autre parent en faveur de ses enfants que si le paiement de la pension est pour lui une charge particulièrement lourde. Cette amélioration doit profiter avant tout aux enfants, par des conditions de vie plus favorables (ATF 108 II 83; MICHELI/NORDMANN/ JACCOTTET/TISSOT/CRETTAZ/THONNEY/RIVA, Le nouveau droit du divorce, 1999, n. 405).</w:t>
      </w:r>
    </w:p>
    <w:p>
      <w:r>
        <w:rPr>
          <w:b/>
        </w:rPr>
        <w:t>E. 4.2</w:t>
      </w:r>
    </w:p>
    <w:p>
      <w:r>
        <w:t>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op. cit., n. 23 ss ad art. 285 CC).</w:t>
      </w:r>
    </w:p>
    <w:p>
      <w:r>
        <w:t>Dans tous les cas, le minimum vital du débirentier doit être au moins préservé (ATF 135 III 66 consid. 2 à 10, JdT 2010 I 167; 127 III 68, JdT 2001 I 562 consid. 2c p. 565/566; 126 III 353 consid. 1a/aa et bb p. 356/357; 123 III 1, JdT 1998 I 39 consid. 3b/bb, 3e et 5 p. 40/41 et p. 44/45). En outre, lorsque le calcul ne permet pas de couvrir les dépenses nécessaires de l'enfant, il doit également faire abstraction de la charge fiscale du débirentier (ATF 127 III 68, JdT 2001 I 562 consid. 2b p. 564 et 565; 126 III 353, JdT 2002 I 162 consid. 1a/aa p. 165).</w:t>
      </w:r>
    </w:p>
    <w:p>
      <w:r>
        <w:t>Il n'est plus nécessaire de majorer de 20% l'entretien de base prévu par les normes d'insaisissabilité, même en cas de divorce (arrêt du Tribunal fédéral 5A_673/2011 du 11 avril 2012 consid. 2.3.2).</w:t>
      </w:r>
    </w:p>
    <w:p>
      <w:r>
        <w:t>Il faut entendre par concubinage qualifié (ou concubinage stable) une communauté de vie d'une certaine durée entre deux personnes de sexe opposé, à caractère en principe exclusif, qui présente une composante tant spirituelle que</w:t>
      </w:r>
    </w:p>
    <w:p>
      <w:r>
        <w:t>- 12/16 -</w:t>
      </w:r>
    </w:p>
    <w:p>
      <w:r>
        <w:t>C/1223/2013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du Tribunal fédéral 5C.265/2002 du 1 avril 2003 consid. 2.4 non publié aux ATF 129 III 257). Il incombe au débiteur d'entretien de prouver que le créancier d'entretien vit dans un concubinage qualifié avec un nouveau partenaire (ATF 118 II 235 consid. 3b); le Tribunal fédéral a toutefois posé la présomption - réfragable - qu'un concubinage est qualifié lorsqu'il dure depuis cinq ans au moment de l'ouverture de l'action en modification du jugement de divorce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 Seule la moitié du montant de base d'un couple est pris en considération (BASTONS BULLETTI, L'entretien après divorce : méthodes de calcul, montant, durée et limites, in SJ 2007 II 77 ss 85), notamment en cas de concubinage qualifié.</w:t>
      </w:r>
    </w:p>
    <w:p>
      <w:r>
        <w:rPr>
          <w:b/>
        </w:rPr>
        <w:t>E. 4.3</w:t>
      </w:r>
    </w:p>
    <w:p>
      <w:r>
        <w:t>Si des enfants ou des tiers vivent dans le foyer des parents, leur part au coût du logement est déduite (arrêt du Tribunal fédéral 5C.277/2001 consid. 3.2). Il convient d'ajouter, au montant de base des poursuites de l'enfant sa part au logement, soit 20% (BASTONS BULLETTI, op. cit., 102). Les allocations familiales doivent être retranchées du coût de l'enfant (arrêts du Tribunal fédéral 5A_386/2012 du 23 juillet 2012 consid. 4.2.1; 5A_402/2010 du 10 septembre 2010 consid. 4.2.4; 5A_511/2010 du 4 février 2011 consid. 3).</w:t>
      </w:r>
    </w:p>
    <w:p>
      <w:r>
        <w:rPr>
          <w:b/>
        </w:rPr>
        <w:t>E. 4.4</w:t>
      </w:r>
    </w:p>
    <w:p>
      <w:r>
        <w:t>D'emblée, la Cour relève que la naissance de C______ ne constitue pas un fait nouveau et durable, dès lors que ce dernier est né alors que la procédure de divorce était encore pendante devant le Tribunal et que cet élément a été invoqué dans le cadre de cette procédure. Les frais relatifs à C______ avaient également été pris en considération. Il en va de même s'agissant de la situation personnelle de la compagne de l'appelant, laquelle ne bénéficiait à l'époque déjà pas de titre de séjour et d'autorisation d'exercer une activité lucrative en Suisse.</w:t>
      </w:r>
    </w:p>
    <w:p>
      <w:r>
        <w:t>S'agissant de cette dernière, et comme l'a retenu à bon droit le premier juge, l'appelant n'a pas établi qu'elle n'exercerait plus d'activité lucrative. Le seul fait qu'elle n'ait pas de permis de travail ne modifie pas cette appréciation, dès lors</w:t>
      </w:r>
    </w:p>
    <w:p>
      <w:r>
        <w:t>- 13/16 -</w:t>
      </w:r>
    </w:p>
    <w:p>
      <w:r>
        <w:t>C/1223/2013 qu'elle avait travaillé par le passé, alors que sa situation personnelle ne s'est pas modifiée sur ce point.</w:t>
      </w:r>
    </w:p>
    <w:p>
      <w:r>
        <w:rPr>
          <w:b/>
        </w:rPr>
        <w:t>E. 4.5</w:t>
      </w:r>
    </w:p>
    <w:p>
      <w:r>
        <w:t>Il y a ensuite lieu d'établir les revenus et charges actuels des parents, et les charges des enfants, afin de déterminer si la situation s'est sensiblement modifiée ou non.</w:t>
      </w:r>
    </w:p>
    <w:p>
      <w:r>
        <w:t>Comme retenu sous ch. 3.2 supra, les revenus de l'appelant s'élevaient à 3'790 fr. 60 et ses charges incompressibles à 1'540 fr. 10, soit la moitié du loyer (447 fr. 50), la prime LAMal (287 fr. 10), les frais de transport (70 fr.), le paiement du crédit (333 fr.) et le montant de base OP de 850 fr. (1'700 fr. / 2). Il disposait dès lors d'un solde mensuel de 2'250 fr. 50.</w:t>
      </w:r>
    </w:p>
    <w:p>
      <w:r>
        <w:t>L'intimé sollicite que l'ensemble de ses charges soit majoré de 20%. En premier lieu, la Cour relève que la majoration qui avait cours ne concernait que l'entretien de base et ne s'appliquait que pour les débiteurs d'une pension postdivorce ou d'une pension due à un enfant majeur. Par ailleurs, récemment, le Tribunal fédéral a jugé, comme relevé ci-avant, que cette majoration de 20% n'était plus justifiée, de sorte qu'il n'y a en tous les cas pas lieu de l'allouer ici.</w:t>
      </w:r>
    </w:p>
    <w:p>
      <w:r>
        <w:t>Contrairement à ce que soutient l'appelant, seule la moitié du montant de base OP doit être prise en considération. L'appelant vit en effet depuis plusieurs années avec sa compagne, avec laquelle il forme une communauté de vie, soit un concubinage stable. Il importe peu, à cet égard, que sa compagne exerce ou non une activité lucrative. Ce concubinage ne correspond pas à imputer un revenu hypothétique à l'appelant, tel qu'il le prétend, mais de déterminer les charges de l'appelant. En 2012, le salaire net mensualisé de l'appelant s'était élevé à 4'267 fr. 65 et, en 2013, son salaire mensuel brut avait été augmenté de 23 fr. par mois. Entre mars et mai 2013, son salaire net, mensualisé, était de 4'116 fr., 13ème salaire inclus. Il travaillait également comme entraîneur de ______, activité lui procurait des revenus de l'ordre de 800 fr. par an, soit 67 fr. par mois. Ses revenus mensuels nets étaient ainsi de l'ordre de 4'335 fr. (4'268 fr. + 67 fr.). Ses charges incompressibles se composaient de la moitié du loyer de l'appartement qu'il partage avec sa compagne et son fils C______ de 580 fr. (1'160 fr. jusqu'en juillet 2013), puis 465 fr. (930 fr. depuis lors), de la prime LAMal de 308 fr. 05, des impôts de 2 fr. 10, des frais de transport de 70 fr. et du montant de base OP de 850 fr., soit 1'810 fr. 15 jusqu'à fin juillet 2013, puis 1'695 fr. 15 dès août 2013.</w:t>
      </w:r>
    </w:p>
    <w:p>
      <w:r>
        <w:t>- 14/16 -</w:t>
      </w:r>
    </w:p>
    <w:p>
      <w:r>
        <w:t>C/1223/2013 Il disposait ainsi d'une solde mensuel de respectivement 2'524 fr. 85 et 2'639 fr. 85. Dès lors, sa situation financière ne s'est pas péjorée depuis le prononcé du divorce, puisqu'il avait alors un solde de 1'359 fr. 65. Même à prendre en considération la totalité du loyer comme l'a fait le premier juge, le montant de ses charges incompressibles était de 2'390 fr. 15 jusqu'à fin juillet 2013, puis de 2'160 fr. dès août 2013, de sorte qu'il bénéficiait d'un disponible de 1'944 fr. 85 et 2'170 fr. Les charges incompressibles de C______ étaient, au moment du dépôt de la demande de modification du jugement de divorce, de 139 fr. 85, soit 0 fr. de prime d'assurance-maladie, entièrement couverte par le subside, 89 fr. 85 de frais de crèche, la moitié du montant de base OP, soit 200 fr., sous déduction de la moitié des allocations familiales, soit 150 fr. Les charges incompressibles de D______, au jour de l'introduction de la requête de modification, s'élevaient à 1'000 fr. (995 fr. 95 arrondi) et comprenaient 20% du loyer soit 371 fr. 80, la prime d'assurance-maladie de 57 fr. 85, les frais de transport de 45 fr., les frais de répétiteur de 105 fr., les frais parascolaires de 74 fr. 65, les frais extrascolaires de 41 fr. 65 et le montant de base OP de 600 fr., sous déduction de 300 fr., d'allocations familiales. Celles de E______, de 1'030 fr. se composaient de 20% du loyer soit 371 fr. 80, de la prime d'assurance-maladie de 57 fr. 85, des frais de transport de 45 fr., des frais de répétiteur de 121 fr. 80, des frais parascolaires de 84 fr., des frais extrascolaires de 49 fr. 65 et du montant de base OP de 600 fr., sous déduction de 300 fr., d'allocations familiales. Quant à l'intimée, elle travaillait dans le ______ et, en 2012, son salaire net mensualisé s'était élevé à 4'418 fr. 50, y compris une participation à l'assurance maladie des enfants et d'elle-même de 200 fr. par mois; en mai 2013, son salaire net était de 4'050 fr. 95. Ses charges, arrêtées à 2'969 fr. 35, se composaient du loyer de 1'115 fr. 40 (60% de 1'859 fr.), de la prime LAMal de 255 fr. 05, des impôts de 178 fr. 90, des frais de transport de 70 fr. et de son montant de base OP de 1'350 fr. A bon droit, le Tribunal a retenu que l'amélioration de la situation financière de l'intimée devait avant tout servir à faire bénéficier aux enfants de conditions de vie plus favorables. La Cour relève également que la contribution d'entretien de 750 fr. par enfant ne couvre pas l'intégralité des charges des enfants, de sorte que l'intimée leur voue non seulement des soins et leur éducation, mais participe également financièrement à leur entretien.</w:t>
      </w:r>
    </w:p>
    <w:p>
      <w:r>
        <w:t>- 15/16 -</w:t>
      </w:r>
    </w:p>
    <w:p>
      <w:r>
        <w:t>C/1223/2013 Enfin, il n'existe aucune inégalité de traitement entre les trois enfants de l'appelant. En effet, le solde mensuel de l'appelant s'élève à respectivement 2'524 fr. 85 et 2'639 fr. 85, lui permet de s'acquitter des contributions d'entretien pour D______ et E______, soit 1'500 fr. par mois au total, ce qui lui laisse encore plus de 1'000 fr. à consacrer à son fils C______.</w:t>
      </w:r>
    </w:p>
    <w:p>
      <w:r>
        <w:rPr>
          <w:b/>
        </w:rPr>
        <w:t>E. 4.6</w:t>
      </w:r>
    </w:p>
    <w:p>
      <w:r>
        <w:t>Il ne se justifie pas en conséquence de modifier les contributions d'entretien fixées par le jugement de divorce du 9 septembre 2011. Le jugement querellé sera partant intégralement confirmé.</w:t>
      </w:r>
    </w:p>
    <w:p>
      <w:r>
        <w:rPr>
          <w:b/>
        </w:rPr>
        <w:t>E. 5</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1'250 fr. (art. 28, 31 et 37 du Règlement fixant le tarif des greffes en matière civile, RTFMC - E 1 05.10). Vu l'issue du litige, ils seront mis à charge de l'appelant. Ils seront provisoirement supportés par l'Etat étant précisé qu'il sera tenu de les rembourser dès qu'il sera en mesure de le faire (art. 122 al. 1 let. b et 123 CPC). Chaque partie gardera pour le surplus à sa charge ses propres dépens. * * * * *</w:t>
      </w:r>
    </w:p>
    <w:p>
      <w:r>
        <w:t>- 16/16 -</w:t>
      </w:r>
    </w:p>
    <w:p>
      <w:r>
        <w:t>C/1223/2013 PAR CES MOTIFS, La Chambre civile : A la forme : Déclare recevable l'appel interjeté le 2 décembre 2013 par A______ contre le jugement JTPI/14267/2013 rendu le 30 octobre 2013 par le Tribunal de première instance dans la cause C/1223/2013-12. Au fond : Confirme ce jugement. Déboute les parties de toutes autres conclusions. Sur les frais d'appel : Arrête les frais judiciaires à 1'250 fr. et les met à la charge de A______. Dit qu'ils sont provisoirement supportés par l'Etat. Dit que chaque partie conserve à sa charge ses propres dépens. Siégeant : Madame Valérie LAEMMEL-JUILLARD, présidente; Madame Nathalie LANDRY- 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