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ACJC/478/2008 vom 18. April 2008</w:t>
      </w:r>
    </w:p>
    <w:p>
      <w:r>
        <w:t>GE Cour de justice, 2008-04-18, FR</w:t>
      </w:r>
    </w:p>
    <w:p>
      <w:r>
        <w:rPr>
          <w:b/>
        </w:rPr>
        <w:t xml:space="preserve">Quelle: </w:t>
      </w:r>
      <w:r>
        <w:t>https://mcp.opencaselaw.ch/entscheid/ge_gerichte_ACJC_478_2008</w:t>
      </w:r>
    </w:p>
    <w:p>
      <w:r>
        <w:t>FR: GE_GERICHTE ACJC/478/2008 du 18 avril 2008</w:t>
      </w:r>
    </w:p>
    <w:p>
      <w:r>
        <w:t>IT: GE_GERICHTE ACJC/478/2008 del 18 aprile 2008</w:t>
      </w:r>
    </w:p>
    <w:p>
      <w:pPr>
        <w:pStyle w:val="Heading2"/>
      </w:pPr>
      <w:r>
        <w:t>Volltext</w:t>
      </w:r>
    </w:p>
    <w:p>
      <w:r>
        <w:t>C/31301/2006 ACJC/478/2008 (1) du 18.04.2008 sur JTPI/8363/2007 ( MP ) , MODIFIE Recours TF déposé le 27.05.2008, rendu le 01.07.2008, DROIT CIVIL, 5A_347/2008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