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ACJC/476/2017 vom 24. April 2017</w:t>
      </w:r>
    </w:p>
    <w:p>
      <w:r>
        <w:t>GE Cour de justice, 2017-04-24, FR</w:t>
      </w:r>
    </w:p>
    <w:p>
      <w:r>
        <w:rPr>
          <w:b/>
        </w:rPr>
        <w:t xml:space="preserve">Quelle: </w:t>
      </w:r>
      <w:r>
        <w:t>https://mcp.opencaselaw.ch/entscheid/ge_gerichte_ACJC_476_2017</w:t>
      </w:r>
    </w:p>
    <w:p>
      <w:r>
        <w:t>FR: GE_GERICHTE ACJC/476/2017 du 24 avril 2017</w:t>
      </w:r>
    </w:p>
    <w:p>
      <w:r>
        <w:t>IT: GE_GERICHTE ACJC/476/2017 del 24 aprile 2017</w:t>
      </w:r>
    </w:p>
    <w:p>
      <w:pPr>
        <w:pStyle w:val="Heading2"/>
      </w:pPr>
      <w:r>
        <w:t>Regeste</w:t>
      </w:r>
    </w:p>
    <w:p>
      <w:r>
        <w:t>Résumé: CAS CLAIR - EXCEPTION D'IMMUNITÉ DE JURIDICTION Un locataire est légitimé à invoquer son statut diplomatique notamment dans le cadre d'une procédure en évacuation introduite par le bailleur. Si, comme en l'espèce, l'exception d'immunité de juridiction opposée par le locataire à la requête en protection des cas clairs peut être écartée sans autre examen, la situation juridique est claire.</w:t>
      </w:r>
    </w:p>
    <w:p>
      <w:pPr>
        <w:pStyle w:val="Heading2"/>
      </w:pPr>
      <w:r>
        <w:t>Volltext</w:t>
      </w:r>
    </w:p>
    <w:p>
      <w:r>
        <w:t>Résumé: CAS CLAIR - EXCEPTION D'IMMUNITÉ DE JURIDICTION Un locataire est légitimé à invoquer son statut diplomatique notamment dans le cadre d'une procédure en évacuation introduite par le bailleur. Si, comme en l'espèce, l'exception d'immunité de juridiction opposée par le locataire à la requête en protection des cas clairs peut être écartée sans autre examen, la situation juridique est claire.</w:t>
      </w:r>
    </w:p>
    <w:p>
      <w:r>
        <w:t>Descripteurs: Descripteurs: BAIL À LOYER ; DEMEURE ; EXPULSION DE LOCATAIRE ; CAS CLAIR ; IMMUNITÉ</w:t>
      </w:r>
    </w:p>
    <w:p>
      <w:r>
        <w:t>Normes: Normes: CPC.257; CVRD.31.al.1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