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ACJC/474/2014 vom 13. Mai 2013</w:t>
      </w:r>
    </w:p>
    <w:p>
      <w:r>
        <w:t>GE Cour de justice, 2013-05-13, FR</w:t>
      </w:r>
    </w:p>
    <w:p>
      <w:r>
        <w:rPr>
          <w:b/>
        </w:rPr>
        <w:t xml:space="preserve">Quelle: </w:t>
      </w:r>
      <w:r>
        <w:t>https://mcp.opencaselaw.ch/entscheid/ge_gerichte_ACJC_474_2014</w:t>
      </w:r>
    </w:p>
    <w:p>
      <w:r>
        <w:t>FR: GE_GERICHTE ACJC/474/2014 du 13 mai 2013</w:t>
      </w:r>
    </w:p>
    <w:p>
      <w:r>
        <w:t>IT: GE_GERICHTE ACJC/474/2014 del 13 maggio 2013</w:t>
      </w:r>
    </w:p>
    <w:p>
      <w:pPr>
        <w:pStyle w:val="Heading2"/>
      </w:pPr>
      <w:r>
        <w:t>Erwägungen</w:t>
      </w:r>
    </w:p>
    <w:p>
      <w:r>
        <w:rPr>
          <w:b/>
        </w:rPr>
        <w:t>E. 1.1</w:t>
      </w:r>
    </w:p>
    <w:p>
      <w:r>
        <w:t>L'appel est recevable contre les jugements de mesures protectrices de l'union conjugale (qui constituent des décisions provisionnelles au sens de l'art. 308 al. 1 let. b CPC), dans les causes non patrimoniales ou dont la valeur litigieuse au dernier état des conclusions devant l'autorité inférieure est supérieure à 10'000 fr. (art. 308 al. 2 CPC). En l'espèce, le litige porte sur la garde de l'enfant mineur et le droit de visite, ainsi que sur la contribution due à l'intimée et à l'enfant, soit sur des contestations de nature à la fois pécuniaire et non pécuniaire, de sorte que l'appel est recevable indépendamment de la valeur litigieuse (arrêts du Tribunal fédéral 5A_586/2012 du 12 décembre 2012 consid. 1; 5A_220/2009 du 30 juin 2009 consid. 1). Par ailleurs, il n'est pas contesté que l'appel a été formé en temps utile (soit 10 jours, la procédure sommaire étant applicable (art. 271 et 314 al. 1 CPC) et selon la forme prescrite (art. 130 al. 1 et 311 al. 1 CPC), de sorte qu'il est recevable. L'appel incident étant irrecevable en procédure sommaire (art. 314 al. 2 CPC), les conclusions de l'intimée tendant à ce que lui soit allouée une contribution d'entretien supérieure à celle fixée par le premier juge sont irrecevables. La maxime d'office permet toutefois à la Cour de fixer la contribution due pour E______ sans être liée par les conclusions des parties (art. 272 et 296 al. 3 CPC; ATF 128 III 411 consid. 3.1; 120 II 229 consid. 1c).</w:t>
      </w:r>
    </w:p>
    <w:p>
      <w:r>
        <w:rPr>
          <w:b/>
        </w:rPr>
        <w:t>E. 1.2</w:t>
      </w:r>
    </w:p>
    <w:p>
      <w:r>
        <w:t>La Cour revoit la cause en fait et en droit avec un plein pouvoir d'examen (art. 310 CPC).</w:t>
      </w:r>
    </w:p>
    <w:p>
      <w:r>
        <w:rPr>
          <w:b/>
        </w:rPr>
        <w:t>E. 1.3</w:t>
      </w:r>
    </w:p>
    <w:p>
      <w:r>
        <w:t>La maxime inquisitoire est applicable. Elle impose au juge d'établir les faits d'office (art. 296 al. 1 CPC), y compris si cela profite au parent débirentier, les parties n'étant toutefois pas dispensées de collaborer activement à la procédure et d'étayer leurs propres thèses (ATF 128 III 411 consid. 3.2.1).</w:t>
      </w:r>
    </w:p>
    <w:p>
      <w:r>
        <w:rPr>
          <w:b/>
        </w:rPr>
        <w:t>E. 2</w:t>
      </w:r>
    </w:p>
    <w:p>
      <w:r>
        <w:t>Selon l'art. 317 al. 1 CPC, qui régit de manière complète et autonome l'admission d'allégations et d'offres de preuve nouvelles en appel, y compris dans les procédures soumises à la maxime inquisitoire simple (ATF 138 III 625 consid. 2.2), de tels faits et moyens probatoires ne sont pris en considération que s'ils sont invoqués ou produits sans retard (let. a) et s'ils ne pouvaient l'être devant la première instance, bien que la partie qui s'en prévaut ait fait preuve de la diligence requise (let. b). La question de savoir si cette norme trouve également une application stricte dans les causes de droit de la famille soumises aux maximes d'office et inquisitoire illimitée n'ayant pas été tranchée à ce jour, la Cour de céans persiste à admettre tous les nova dans les procédures matrimoniales</w:t>
      </w:r>
    </w:p>
    <w:p>
      <w:r>
        <w:t>- 16/28 -</w:t>
      </w:r>
    </w:p>
    <w:p>
      <w:r>
        <w:t>C/18461/2012 impliquant des enfants mineurs (dans ce sens : TREZZINI, Commentario al Codice di diritto processuale civile svizzero (CPC), COCCHI/TREZZINI/BERNASCONI [éd.], 2011, p. 1394; TAPPY, Les voies de droit du nouveau Code de procédure civile, in JdT 2010 III p. 115 ss, 139). En l'espèce, les écritures des deux parties en appel comprennent des allégués de fait nouveaux et sont accompagnées de pièces nouvelles. Leur recevabilité sera admise, dans la mesures où ils ont trait au sort du mineur et à la contribution d'entretien le concernant, avec la précision que certaines pièces produites en appel soit constituent des actes de procédure qui figuraient de toute manière au dossier et n'avaient dès lors pas à être intégrés dans un bordereau de pièces, soit avaient déjà été produites en première instance, sous une numérotation différente. L'appelant soutient que certaines pièces lui ont été dérobées et qu'elles doivent, partant, être écartées de la procédure. Cette assertion n'est toutefois pas rendue vraisemblable, l'épouse expliquant de manière convaincante que ces pièces se trouvaient au domicile conjugal et qu'elle y avait dès lors librement accès. Quoi qu'il en soit, les documents concernés sont anciens, ce qui diminue considérablement leur valeur probante. Par ailleurs, l'affidavit produit sous pièce 145 par l'appelant, que l'intimée voudrait voir écarté des débats, n'a qu'une valeur probante limitée, son auteur n'y relatant pour l'essentiel que des ouï-dires. Ces différentes pièces demeurent quoi qu'il en soit sans influence sur l'issue de la présente cause.</w:t>
      </w:r>
    </w:p>
    <w:p>
      <w:r>
        <w:rPr>
          <w:b/>
        </w:rPr>
        <w:t>E. 3</w:t>
      </w:r>
    </w:p>
    <w:p>
      <w:r>
        <w:t>L'appelant sollicite, à titre préalable, d'une part que l'enfant cadet des parties soit pourvu d'un curateur de représentation, d'autre part - et pour la première fois devant la Cour - qu'il soit procédé à une expertise familiale. A l'appui de sa position, il fait valoir que le mineur serait manipulé par sa mère et que, partant, il ne se serait pas exprimé librement lors de ses auditions au SPMi.</w:t>
      </w:r>
    </w:p>
    <w:p>
      <w:r>
        <w:rPr>
          <w:b/>
        </w:rPr>
        <w:t>E. 3.1</w:t>
      </w:r>
    </w:p>
    <w:p>
      <w:r>
        <w:t>Lorsqu'il doit statuer sur le sort d'un mineur dans une procédure matrimoniale, le juge peut ordonner, si nécessaire, la représentation de l'enfant et désigner un curateur expérimenté dans le domaine de l'assistance et en matière juridique (art. 299 al. 1 CPC). La nécessité d'une curatelle doit en particulier être examinée lorsque les parents déposent des conclusions différentes relatives à l'attribution de l'autorité parentale ou du droit de garde ou à des questions importantes concernant leurs relations personnelles avec l'enfant ou lorsque l'un des parents le requière (art. 299 al. 2 CPC). Toutefois, sauf si l'enfant capable de discernement le requiert lui-même (art. 299 al. 3 CC), la nomination d'un curateur n'est pas une obligation, mais une possibilité qui relève de l'appréciation du juge. Par ailleurs, en matière de mesures protectrices de l'union conjugale, la cognition du juge est limitée à la simple vraisemblance des faits et à un examen sommaire du droit, l'exigence de célérité étant privilégiée par rapport à celle de sécurité</w:t>
      </w:r>
    </w:p>
    <w:p>
      <w:r>
        <w:t>- 17/28 -</w:t>
      </w:r>
    </w:p>
    <w:p>
      <w:r>
        <w:t>C/18461/2012 (HOHL, Procédure civile, n. 1901; HALDY, La nouvelle procédure civile suisse, 2009, p. 71; VOUILLOZ, Les procédures du droit de la famille, in Jusletter 11 octobre 2010, Rz 6; VETTERLI, Das Eheschutzverfahren nach der Schweiz. ZPO, in FamPra.ch 2010 p. 785 ss, p. 787). Tous les moyens de preuve sont en principe admissibles (art. 254 al. 2 let. c CPC), étant précisé que ceux dont l'administration ne peut intervenir immédiatement ne doivent être ordonnés que dans des circonstances exceptionnelles (arrêt du Tribunal fédéral 5A_444/2008 du 14 août 2008 consid. 2.2).</w:t>
      </w:r>
    </w:p>
    <w:p>
      <w:r>
        <w:rPr>
          <w:b/>
        </w:rPr>
        <w:t>E. 3.2</w:t>
      </w:r>
    </w:p>
    <w:p>
      <w:r>
        <w:t>En l'espèce, le mineur a été entendu à deux reprises par le SPMi, puis par le juge délégué de la Cour, auditions lors desquelles il a fait des déclarations concordantes, dont l'essentiel a été communiqué à ses parents. A chaque fois, il a ainsi émis le désir que le mode de vie qui est le sien depuis longtemps (à savoir vivre avec sa mère et passer régulièrement des vacances avec son père) soit conservé. Plus spécifiquement, lors de son audition par le juge délégué de la Cour, aucun élément n'a permis de mettre en évidence que la déclaration du mineur ne correspondrait pas à sa réelle volonté. A cela s'ajoute que le mineur est proche de la majorité et qu'il importe dès lors de statuer rapidement sur son sort, alors que la nomination d'un curateur entraînerait une prolongation non négligeable de la procédure. A l'instar du Tribunal, la Cour retient en conséquence qu'il ne se justifie pas de nommer un curateur de représentation au mineur dans le cadre de la présente procédure. Au vu de la nature particulière de la procédure de mesures protectrices de l'union conjugale, de l'âge du mineur, qui est proche de sa majorité et des éléments figurant d'ores et déjà au dossier, en particulier du rapport circonstancié du SPMi et des éléments médicaux fournis par l'intimée au sujet de sa santé, il ne s'impose pas davantage d'ordonner l'expertise familiale sollicitée par l'appelant, quelle que soit la recevabilité de cette conclusion formulée pour la première fois en seconde instance. Une telle mesure n'apparaît en effet pas indispensable au vu des éléments figurant d'ores et déjà au dossier et y procéder retarderait trop l'issue de la présente procédure d'appel. Il ne sera ainsi pas donné suite aux conclusions préalables de l'appelant, la cause étant en état d'être jugée sur le fond.</w:t>
      </w:r>
    </w:p>
    <w:p>
      <w:r>
        <w:rPr>
          <w:b/>
        </w:rPr>
        <w:t>E. 4</w:t>
      </w:r>
    </w:p>
    <w:p>
      <w:r>
        <w:t>L'appelant réclame la garde du fils des parties, encore mineur, sous réserve d'un droit de visite en faveur de la mère. Cette question doit être examinée en premier lieu, en raison des conséquences possibles de la solution choisie sur l'attribution de la jouissance du domicile conjugal et sur la contribution d'entretien.</w:t>
      </w:r>
    </w:p>
    <w:p>
      <w:r>
        <w:t>- 18/28 -</w:t>
      </w:r>
    </w:p>
    <w:p>
      <w:r>
        <w:t>C/18461/2012 A l'appui de sa position, l'appelant fait valoir les éléments suivants : son épouse rencontre des difficultés psychiques depuis 2007, pour lesquelles elle ne suit aucune thérapie depuis septembre 2012 et ses capacités éducatives doivent être mises en doute, au vu des attestations médicales la concernant et émanant de psychiatres neutres et compétents, ainsi que du conflit qui l'oppose à ses filles. Doit également être mise en doute sa capacité à favoriser les contacts du mineur avec son père. E______ poursuit des études aux Etats-Unis, alors que l'intimée déclare avoir l'intention de rester à Genève et la plus grande disponibilité de cette dernière est dès lors sans pertinence. Enfin, l'avenir d'E______ est mis en péril, puisqu'il néglige de suivre les enseignements que l'Université de C______ exige qu'il suive avant la rentrée d'automne 2014. A cela s'ajoute que les conditions dans lesquelles ont eu lieu les auditions du mineur par le SPMi ne permettent pas de retenir qu'il se serait librement exprimé.</w:t>
      </w:r>
    </w:p>
    <w:p>
      <w:r>
        <w:rPr>
          <w:b/>
        </w:rPr>
        <w:t>E. 4.1</w:t>
      </w:r>
    </w:p>
    <w:p>
      <w:r>
        <w:t>Pendant sa minorité, l'enfant est soumis à l'autorité parentale (art. 296 al. 1er CC), dont le droit de garde est une composante. Ce droit consiste dans la compétence de déterminer le lieu de résidence et le mode d'encadrement de l'enfant. Le détenteur de l'autorité parentale peut ainsi, en particulier, confier des enfants à des tiers, exiger sa restitution, surveiller ses relations et diriger son éducation (ATF 128 II 9 consid. 4a; entre autres auteurs : DE LUZE/PAGE/ STOUDMANN, Droit de la famille, Lausanne 2013, n° 1.2 ad art. 296). Lorsque les époux ont des enfants mineurs, le juge des mesures protectrices, ordonne les mesures nécessaires d'après les dispositions sur les effets de la filiation (art. 176, 273 ss CC). Lorsque le juge ordonne les mesures nécessaires concernant les enfants mineurs, le principe fondamental est l'intérêt de l'enfant, celui des parents étant relégué à l'arrière-plan. Au nombre des critères essentiels, entrent en ligne de compte les relations entre les parents et l'enfant, les capacités éducatives respectives des père et mère,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136 I 178 consid. 5.3, arrêts du Tribunal fédéral 5A_497/2011 du 5 décembre 2011 consid. 6.1; 5A_693/2007 du 18 février 2008 consid. 5.1; arrêt du Tribunal fédéral in FamPra 2006 p. 193 consid. 2.1). Le désir exprimé par l'enfant peut en outre jouer un rôle important s'il apparaît, sur le vu de son âge et de son développement, qu'il s'agit d'une ferme résolution de sa part et que ce désir reflète une relation effective étroite avec le parent désigné (ATF 126 III 497 consid. 4; arrêt du Tribunal fédéral précité in FamPra 2006 p. 193 consid. 2.1). En matière de mesures protectrices, qui visent à maîtriser une crise conjugale, il convient d'accorder une importance primordiale</w:t>
      </w:r>
    </w:p>
    <w:p>
      <w:r>
        <w:t>- 19/28 -</w:t>
      </w:r>
    </w:p>
    <w:p>
      <w:r>
        <w:t>C/18461/2012 aux conditions de vie et à la répartition des tâches qui existaient jusque-là; il en résulte surtout le besoin de créer au plus vite une situation optimale pour les enfants (arrêt du Tribunal fédéral in FamPra 2003, p. 700).</w:t>
      </w:r>
    </w:p>
    <w:p>
      <w:r>
        <w:rPr>
          <w:b/>
        </w:rPr>
        <w:t>E. 4.2</w:t>
      </w:r>
    </w:p>
    <w:p>
      <w:r>
        <w:t>En l'espèce, le premier juge a suivi le préavis du SPMi qui préconisait d'attribuer la garde de l'enfant cadet à sa mère. Ce faisant, il a tenu compte de la répartition des tâches convenues entre les parties du temps de la vie commune, et à teneur desquelles l'appelant assumait l'entretien de la famille alors que l'intimée s'occupait des enfants, et plus spécifiquement du fait que, de 2009 à 2012, celle-ci avait partagé son temps entre d'une part les Etats-Unis, où étudiaient les deux enfants cadets du couple et où elle passait pratiquement toutes les périodes scolaires, et d'autre part Genève, où elle revenait avec eux en vacances, tandis que l'appelant se consacrait à ses activités professionnelles et ne passait que des périodes de vacances avec ses enfants et en particulier avec son fils cadet. La solution adoptée par le premier juge assure ainsi une stabilité dans la prise en charge du mineur, pour la courte période le séparant encore de la majorité. Cette solution tient également compte du souhait librement exprimé par le mineur, âgé de 17 ans et qui en a explicité les motivations, non seulement lors de ses auditions au SPMi, mais également lorsqu'il a été entendu par le juge délégué de la Cour de céans. Rien au dossier ne permet par ailleurs de retenir que l'intimée ne disposerait pas des capacités éducatives suffisantes pour assurer correctement la garde et l'éducation de son fils pendant la courte période qui sépare celui-ci de sa majorité, aucun des éléments médicaux fournis ne permettant de conclure que les deux suivis psychiatriques dont elle a fait l'objet en 2007, puis en ______ 2012, auraient affecté ses qualités éducatives. Les éléments évoqués par l'appelant en relation avec l'année sabbatique actuelle que passe E______ auprès de sa mère ne permettent pas de retenir que l'avenir de celui-ci serait mis en péril, l'obligation de suivre des cours préalables à son entrée à l'Université de C______ en automne 2014 n'étant pas rendue vraisemblable par les pièces produites, la lettre lui confirmant son inscription pour cette période ne contenant aucune réserve de cette nature. Aucun élément ne permet enfin de retenir que l'intimée pourrait entraver les relations personnelles entre l'appelant et son fils pendant la période séparant celui-ci de sa majorité, le mineur étant en âge de prendre lui-même des dispositions à ce sujet sans avoir besoin de passer par l'intermédiaire de sa mère. La solution consacrée par le premier juge apparait ainsi conforme à l'intérêt du mineur, et elle sera, partant, confirmée.</w:t>
      </w:r>
    </w:p>
    <w:p>
      <w:r>
        <w:rPr>
          <w:b/>
        </w:rPr>
        <w:t>E. 4.3</w:t>
      </w:r>
    </w:p>
    <w:p>
      <w:r>
        <w:t>Les modalités du droit de visite du père fixées dans le jugement entrepris ne sont pas critiquées en soi. Adaptées à l'âge du mineur, elles sont conformes à son intérêt et seront, partant, également confirmées.</w:t>
      </w:r>
    </w:p>
    <w:p>
      <w:r>
        <w:t>- 20/28 -</w:t>
      </w:r>
    </w:p>
    <w:p>
      <w:r>
        <w:t>C/18461/2012</w:t>
      </w:r>
    </w:p>
    <w:p>
      <w:r>
        <w:rPr>
          <w:b/>
        </w:rPr>
        <w:t>E. 5</w:t>
      </w:r>
    </w:p>
    <w:p>
      <w:r>
        <w:t>L'appelant sollicite en outre que la jouissance exclusive du domicile conjugal et du mobilier le garnissant lui soit attribuée. Il fait valoir, en appel, que l'intimée réside la plupart du temps aux Etats-Unis, alors qu'il ne s'absente que peu de Genève pour ses affaires et qu'il exerce ses activités professionnelles indépendantes depuis ce logement. La villa conjugale constitue également le lieu de "rassemblement" de toute la famille, et en particulier des filles du couple, qui y résident fréquemment et qui n'ont plus de relations avec leur mère.</w:t>
      </w:r>
    </w:p>
    <w:p>
      <w:r>
        <w:rPr>
          <w:b/>
        </w:rPr>
        <w:t>E. 5.1</w:t>
      </w:r>
    </w:p>
    <w:p>
      <w:r>
        <w:t>Si les époux ne parviennent pas à s'entendre au sujet de la jouissance de l'habitation familiale, le juge des mesures protectrices en décide librement, au regard des circonstances concrètes et sur la base d'une pesée des intérêts de chacun des conjoints. Est déterminant l'intérêt de celui des époux auquel la demeure conjugale est la plus utile, indépendamment des droits résultant de la propriété, de la liquidation des biens ou des relations contractuelles (arrêt du Tribunal fédéral 5A_710/2009 du 22 février 2010 consid. 3.1 et réf. citées). Les droits personnels ou réels qu'un époux exerce sur le logement ne l'emporteront que si le conjoint n'invoque pas un intérêt prépondérant lié, par exemple, à son âge, à la présence d'enfants, à son état de santé ou à l'exercice de son activité professionnelle (arrêt du Tribunal fédéral 5A_710/2009 précité ibidem; arrêt du Tribunal fédéral 5A_914/2010 du 10 mars 2011 consid. 2.1).</w:t>
      </w:r>
    </w:p>
    <w:p>
      <w:r>
        <w:rPr>
          <w:b/>
        </w:rPr>
        <w:t>E. 5.2</w:t>
      </w:r>
    </w:p>
    <w:p>
      <w:r>
        <w:t>En l'espèce, de 2009 à 2012, la villa de ______ a été principalement la résidence de l'appelant, en dehors de ses séjours professionnels à l'étranger dont la fréquence et la durée ne résultent pas du dossier, l'intimée résidant durant l'année scolaire avec les enfants cadets du couple aux Etats-Unis et revenant à la villa familiale, avec eux, pour des séjours de vacances. L'intimée est cependant revenue à Genève à la fin de l'été 2012 et déclare avoir dorénavant l'intention de résider à Genève, ce qui paraît vraisemblable, au vu de l'inscription du fils cadet des parties dans une université à C______, ville dans laquelle les époux ne possèdent aucun logement et où le mineur vivra sur le campus universitaire. La fille aînée du couple ne vit plus en ce lieu depuis l'été 2012 et la fille cadette poursuit également ses études aux Etats-Unis. Après avoir vécu quelques mois à l'hôtel, l'appelant s'est actuellement installé dans l'appartement que les époux possèdent à ______. Il dispose ainsi d'un autre lieu de vie, dans lequel rien ne l'empêche d'exercer ses activités ______ [profession] et aucun élément n'est évoqué, qui rendrait vraisemblable qu'une partie de la villa familiale a été aménagée pour lui servir spécifiquement de bureau. Les éléments qui précèdent justifient la confirmation du jugement entrepris sur ce point.</w:t>
      </w:r>
    </w:p>
    <w:p>
      <w:r>
        <w:rPr>
          <w:b/>
        </w:rPr>
        <w:t>E. 6</w:t>
      </w:r>
    </w:p>
    <w:p>
      <w:r>
        <w:t>L'appelant ne conteste pas devoir contribuer à l'entretien de l'intimée. Il considère en revanche comme excessive l'évaluation du premier juge, en ce qui concerne le montant convenable pour assurer son entretien.</w:t>
      </w:r>
    </w:p>
    <w:p>
      <w:r>
        <w:t>- 21/28 -</w:t>
      </w:r>
    </w:p>
    <w:p>
      <w:r>
        <w:t>C/18461/2012</w:t>
      </w:r>
    </w:p>
    <w:p>
      <w:r>
        <w:rPr>
          <w:b/>
        </w:rPr>
        <w:t>E. 6.1</w:t>
      </w:r>
    </w:p>
    <w:p>
      <w:r>
        <w:t>Même lorsqu'on ne peut plus sérieusement compter sur la reprise de la vie commune, l'art. 163 CC demeure la cause de l'obligation d'entretien réciproque des époux en mesures protectrices de l'union conjugale (ATF 137 III 385 consid. 3.1; 130 III 537 consid. 3.2). Pour fixer la contribution d'entretien selon l'art. 176 al. 1 ch. 1 CC, le juge doit partir de la convention conclue pour la vie commune. Il doit ensuite prendre en considération qu'en cas de suspension de cette communauté, le but de l'art. 163 CC, soit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(ATF 137 III 385 consid. 3.1, précisant l'ATF 128 III 65; arrêts 5A_502/2010 du 25 juillet 2011 consid. 3.2.1, publié in : FamPra.ch 2011 p. 993; 5A_236/2011 du 18 octobre 2011 consid. 4.2.3; 5A_122/2011 du 6 juin 2011 consid. 4). Si la situation financière des époux le permet encore, le standard de vie antérieur, choisi d'un commun accord, doit être maintenu pour les deux parties (ATF 121 I 97 consid. 3b et les références; arrêts 5A_475/2011 du 12 décembre 2011 consid. 4.2; 5A_205/2010 du 12 juillet 2010 consid. 4.2.3, publié in FamPra.ch 2010 p. 894). Quand il n'est pas possible de conserver ce niveau de vie, les époux ont droit à un train de vie semblable (ATF 119 II 314 consid. 4b/aa). Le montant de la contribution d'entretien est alors fixé sur la base des dépenses nécessaires au maintien des conditions de vie antérieures et il incombe au créancier de la contribution d'entretien des préciser ses dépenses et de les rendre vraisemblables (ATF 115 II 4245A.27/2009; arrêt 5A.515/2008). Le train de vie mené jusqu'à la cessation de la vie commune constitue toutefois la limite supérieure du droit à l'entretien et la liquidation du régime matrimonial ne doit pas être anticipée par des versements dépassant ce qui est nécessaire au maintien du niveau de vie (ATF 121 I 97).</w:t>
      </w:r>
    </w:p>
    <w:p>
      <w:r>
        <w:rPr>
          <w:b/>
        </w:rPr>
        <w:t>E. 6.2</w:t>
      </w:r>
    </w:p>
    <w:p>
      <w:r>
        <w:t>En l'espèce et compte tenu de la situation financière du couple, le Tribunal s'est avec raison fondé sur le train de vie des parties. Sous cet angle, il faut relever que les époux vivaient dans une imposante villa de 400m2, entourée d'un jardin de 2'200 m2 et luxueusement meublée. Ils disposaient de résidences secondaires à Crans Montana et aux Etats-Unis, où leurs trois enfants étaient scolarisés dans des établissements privés. A cela s'ajoutaient l'usage de voitures de prix et des nombreux voyages d'agrément, en tous cas en ce qui concerne l'intimée et les enfants. Selon les propres dires de l'appelant, corroborés par les pièces produites,</w:t>
      </w:r>
    </w:p>
    <w:p>
      <w:r>
        <w:t>- 22/28 -</w:t>
      </w:r>
    </w:p>
    <w:p>
      <w:r>
        <w:t>C/18461/2012 celui-ci prenait à sa charge, au moyen de son salaire, des allocations reçues de son employeur pour les enfants, enfin des revenus retirés de ses activités accessoires, l'entier des dépenses fixes de la famille et mettait à disposition de son épouse des montants importants, destinés à la couverture de ses dépenses personnelles et à celles des enfants vivant avec elle aux Etats-Unis. L'appelant n'a donné que des renseignements lacunaires sur ses revenus. Il n'a ainsi donné aucun renseignements sur les prestations de retraite qu'il reçoit de l'ONU, ni sur les revenus qu'il retire (en liquide selon son dire) de ses activités de consultant et de ses investissements. Il n'a pas davantage indiqué quels montants lui avaient été remis par sa famille ou des tiers, respectivement dont il aurait hérité, et qui auraient été utilisés pour ses acquisitions immobilières et ses investissements. Il doit dès lors être tenu pour vraisemblable que ce sont essentiellement les revenus réalisés par l'appelant qui ont permis aux parties et à leurs enfants non seulement de mener un train de vie important, mais encore de financer leurs importantes acquisitions immobilières. L'appelant fait certes valoir qu'il ne dispose plus d'aucun revenu depuis qu'il a pris sa retraite en avril 2013 et qu'il est atteint dans sa santé pour une période devant durer encore quelques mois, avec pour conséquence une incapacité de travail à 100%. Cependant, il est hautement invraisemblable que l'appelant, compte tenu des dépenses familiale et du fait que deux des enfants poursuivent encore des études dans des universités américaines, ait pris sa retraite avant l'âge légal de 65 ans sans s'assurer qu'il disposerait ensuite de revenus suffisamment importants pour faire face aux charges de la famille, qu'il évalue lui-même à plus de 50'000 fr. par mois, hors charge fiscale de l'épouse (14'200 fr. pour son épouse et entre 8'799 fr. et 12'330 fr. en ce qui le concerne). Par ailleurs, l'appelant n'explique pas en quoi consiste la maladie qui l'empêche actuellement de travailler et il peut être exigé de lui que, pendant son incapacité de travail (qui à son dire pourrait durer encore quelques mois), il entame la substance de sa fortune pour assurer son entretien et celui des siens. L'épouse n'a plus exercé d'activité lucrative depuis 1995. Compte tenu de son âge (52 ans), il ne peut être exigé d'elle qu'elle se réinsère dans le monde du travail. L'entretien convenable de l'épouse, qui jusqu'à la séparation du couple jouissait d'un train de vie très élevé, doit être compté largement. Il comprend un entretien de base de 5'000 fr., montant que l'appelant juge adéquat pour lui-même. Les frais de logement, à savoir les charges relatives à la villa de ______, y inclus les frais de SIG, sont arrêtés à 4'400 fr., montant articulé par l'intimée, étant précisé que l'appelant estime lui-même les frais de logement admissibles pour son épouse à 5'000 fr. Les frais de femme de ménage (compris dans le montant de 4'400 fr.) sont tenus pour vraisemblables, compte tenu de l'importance de la villa familiale et l'appelant ne les ayant pas contestés de manière circonstanciée devant le</w:t>
      </w:r>
    </w:p>
    <w:p>
      <w:r>
        <w:t>- 23/28 -</w:t>
      </w:r>
    </w:p>
    <w:p>
      <w:r>
        <w:t>C/18461/2012 premier juge, se contentant d'indiquer que "certaines des charges" articulées par son épouse étaient "inexistantes", respectivement "excessives". A cela s'ajoutent les frais de téléphone (300 fr.), les frais de véhicule (1'146 fr.) et l'entretien du chien (300 fr.), postes ne faisant pas l'objet de contestations, ainsi que des frais de sports et de loisirs justifiés par pièces (fitness : 328 fr.; abonnement de ski : 110 fr. et club de golf : 236 fr.). La Cour y ajoute un montant de 3'000 fr. de frais de voyage, pour permettre à l'intimée de rendre régulièrement visite à ses enfants qui étudient aux Etats-Unis et d'effectuer des voyages d'agrément, enfin le coût d'une assurance-maladie similaire à celui articulé par l'appelant pour lui-même (600 fr.). Les frais ainsi énumérés représentent 14'820 fr. A cela s'ajoute la charge fiscale que l'intimée devra supporter, dès et y compris l'exercice fiscal 2014, et qui peut être estimée, a priori, à 14'000 fr. par mois, compte tenu des contributions d'entretien fixées ci-après (non inclus toutefois l'écolage d'E______, qui constitue une prestation de l'appelant théoriquement taxable), de sa fortune immobilière à Genève et après déduction des assurances-maladie, des frais médicaux et des frais d'entretien de l'immeuble qu'elle habite, par le biais de la calculette mise en ligne par l'administration fiscale cantonale (http:ge.ch/afcaelp1mapublic/2014/sfsp). Ce qui précède conduit à fixer la contribution mensuelle d'entretien due pour l'épouse au montant global et arrondi de 30'000 fr.</w:t>
      </w:r>
    </w:p>
    <w:p>
      <w:r>
        <w:rPr>
          <w:b/>
        </w:rPr>
        <w:t>E. 7</w:t>
      </w:r>
    </w:p>
    <w:p>
      <w:r>
        <w:t>Est également disputée la contribution d'entretien due pour E______.</w:t>
      </w:r>
    </w:p>
    <w:p>
      <w:r>
        <w:rPr>
          <w:b/>
        </w:rPr>
        <w:t>E. 7.1</w:t>
      </w:r>
    </w:p>
    <w:p>
      <w:r>
        <w:t>L'appelant conteste à tort la qualité de l'intimée pour réclamer une contribution d'entretien pour E______, pour la période postérieure à la majorité. En effet, dans le cadre d'un procès en divorce ou en mesures protectrices de l'union conjugale, la capacité du parent de faire valoir les droits de l'enfant, qui lui est expressément conférée par la loi, vaut non seulement pour la période couvrant la minorité de l'enfant, mais aussi pour celle allant au-delà de l'accès à la majorité (art. 133 al. 1 2e phr. CC). L'extension de cette capacité aux contributions d'entretien pour la période postérieure à la majorité de l'enfant, introduite dans la loi lors de l'abaissement de l'âge de la majorité de vingt à dix-huit ans (cf. art. 156 al. 2 aCC et 14 CC, dans leur teneur selon la loi fédérale du 7 octobre 1994 entrée en vigueur le 1er janvier 1996, RO 1995 1126), avait en effet pour but d'éviter que l'abaissement de l'âge de la majorité ne compromît la formation des jeunes gens, en contraignant l'enfant devenu adulte à ouvrir en son propre nom une action indépendante contre son parent (BO 1993 CE 662, BO 1994 CN 1144; ATF 129 III 55 consid. 3.1.4; arrêt 5A_18/2011 du 1er juin 2011 consid. 5.1.1).</w:t>
      </w:r>
    </w:p>
    <w:p>
      <w:r>
        <w:rPr>
          <w:b/>
        </w:rPr>
        <w:t>E. 7.2</w:t>
      </w:r>
    </w:p>
    <w:p>
      <w:r>
        <w:t>La contribution due pour E______ doit être fixée conformément aux dispositions des art. 176, 276 et 277 CC. Elle doit ainsi correspondre à la situation des père et mère, sans toutefois et pour des motifs éducatifs, que l'enfant puisse nécessairement prétendre au même train de vie que ceux-ci.</w:t>
      </w:r>
    </w:p>
    <w:p>
      <w:r>
        <w:t>- 24/28 -</w:t>
      </w:r>
    </w:p>
    <w:p>
      <w:r>
        <w:t>C/18461/2012 En outre, bien qu'en théorie l'art. 277 al. 2 CC subordonne à certains critères la fixation de la contribution d'entretien pour une période allant au-delà de l'accès à la majorité, ceux-ci ne peuvent toutefois donner lieu à un examen précis, les circonstances personnelles, telles que le refus de l'enfant d'entretenir des relations avec son parent, voire même la possibilité effective de réaliser des études, ne pouvant que difficilement faire l'objet d'un pronostic et devant bien plus être examinées après l'accès à la majorité, le cas échéant dans le cadre d'une action en modification (arrêt du Tribunal fédéral 5A_18/2011 précité consid. 5.1.2 et la référence).</w:t>
      </w:r>
    </w:p>
    <w:p>
      <w:r>
        <w:rPr>
          <w:b/>
        </w:rPr>
        <w:t>E. 7.3</w:t>
      </w:r>
    </w:p>
    <w:p>
      <w:r>
        <w:t>En l'espèce, E______ a un projet effectif de formation pour la période postérieure à sa majorité, puisqu'il est admis à l'Université de C______ dès l'automne 2014. La situation financière de ses parents est largement supérieure à celle qui sert de base aux valeurs indicatives retenues par l'Office de la jeunesse du canton de Zurich (Tabelles zurichoises; www.lotse.zh.ch). La Cour se fondera sur les frais effectifs du mineur, tels qu'ils sont articulés par les parties et qui paraissent vraisemblables, compte tenu du train de vie mené jusqu'à la séparation de ses parents. L'entretien de base sera fixé à 2'500 fr., soit au montant articulé par l'appelant pour chacun des trois enfants du couple. Ce montant comprend la nourriture, l'habillement et les dépenses personnelles de base. S'y ajoutent des frais de téléphone (100 fr.), des frais de véhicule aux Etats-Unis (soit ½ de 650 fr. ou 325 fr., puisque le véhicule est à la disposition des deux enfants du couple), et les nécessaires frais d'une assurance-maladie, qui peuvent être chiffrés à 100 fr. jusqu'à la majorité et 400 fr. au-delà, ce qui correspond à la prime moyenne exigée pour une assurance maladie de base et à l'augmentation subie lors de l'accession à la majorité, enfin un montant de 1'200 fr. pour des frais de loisirs et de déplacement, afin que le mineur puisse revenir à Genève pendant les vacances scolaires. Les montants précités totalisant, par mois, 4'225 fr. jusqu'à la fin 2014 et 4'625 fr. dès janvier 2015, la contribution à l'entretien d'E______ sera fixée au montant arrondi de 5'000 fr., pour tenir compte de l'important train de vie de la famille du temps de la vie commune. Il est renoncé à chiffrer une participation d'E______ aux frais liés à la villa familiale, celui-ci devant passer la majorité de l'année aux Etats-Unis et n'y revenir que pour des périodes de vacances. La solution du premier juge n'étant pas spécifiquement critiquée sur ce point, l'appelant prendra à sa seule charge, en sus, les frais de scolarité et de séjour de son fils à l'Université de C______ (ou dans une autre université), ainsi que le coût de ses entraînements privés de golf.</w:t>
      </w:r>
    </w:p>
    <w:p>
      <w:r>
        <w:rPr>
          <w:b/>
        </w:rPr>
        <w:t>E. 8</w:t>
      </w:r>
    </w:p>
    <w:p>
      <w:r>
        <w:t>Le jugement attaqué a condamné l'appelant à verser une contribution à l'entretien de la famille à dater du mois de novembre 2012. Se fondant sur l'engagement qu'aurait pris l'appelant de contribuer à l'entretien de son épouse à hauteur de</w:t>
      </w:r>
    </w:p>
    <w:p>
      <w:r>
        <w:t>- 25/28 -</w:t>
      </w:r>
    </w:p>
    <w:p>
      <w:r>
        <w:t>C/18461/2012 15'000 fr. par mois pendant la durée de la procédure, le juge a tenu compte des dépenses effectuées par l'intimée au moyen de sa carte de crédit décembre 2012, pour condamner l'appelant à verser la différence à l'intimée. L'appelant critique à juste titre ce mode de procéder, qui ne tient pas compte d'une part qu'il s'est uniquement engagé à mettre à la disposition de son épouse une carte de crédit présentant une limite de dépenses mensuelle de 15'000 fr. (et non lui verser ce montant). Or, cet engagement a été tenu, l'intimée ayant en définitive admis, devant le juge pénal, que la carte n'avait subi que quelques blocages n'ayant pas excédé quelques jours. A cette prestation s'est ajouté le paiement, par l'appelant, des toutes les factures courantes de la famille, soit en particulier des charges de la villa familiale occupée par l'intimée et son fils depuis la séparation, des autres propriétés immobilières du couple (dont l'appartement utilisé par l'intimée et son fils en Floride), des factures de téléphones et de SIG la concernant, ainsi que frais des véhicules utilisés par elle-même et les enfants des parties aux Etats-Unis. L'appelant a enfin versé différents montants directement à son épouse et à son fils, ce qui a, en particulier, permis de couvrir les dépenses de ceux-ci lors de leurs séjours aux Etats-Unis postérieurs à l'introduction de la présente procédure, ce dont il doit également être tenu compte. Ces éléments permettent de retenir, au stade de la vraisemblance, que l'appelant a de manière suffisante, à ce jour, contribué à l'entretien de l'intimée et d'E______. Ce qui précède conduit à fixer le dies a quo des contributions d'entretien telles qu'arrêtées ci-dessus au jour du prononcé du présent arrêt. Le jugement attaqué sera modifié en ce sens.</w:t>
      </w:r>
    </w:p>
    <w:p>
      <w:r>
        <w:rPr>
          <w:b/>
        </w:rPr>
        <w:t>E. 9</w:t>
      </w:r>
    </w:p>
    <w:p>
      <w:r>
        <w:t>L'appelant conteste enfin le montant de la provisio ad litem qu'il a été condamné à verser (40'000 fr.) et offre de verser un montant de 20'000 fr. à ce titre. Il fait valoir que l'intimée, compte tenu de la contribution d'entretien qu'il propose de lui verser, sera à même, pour le surplus, d'assumer le coût de la présente procédure. L'intimée y répond que l'ampleur de la procédure, due à l'appelant qui multiplie ses interventions et qui ne respecte pas les clauses du jugement qui ont force exécutoire, justifie le montant alloué. Elle ne chiffre cependant pas les frais d'avocat exposés à ce jour.</w:t>
      </w:r>
    </w:p>
    <w:p>
      <w:r>
        <w:rPr>
          <w:b/>
        </w:rPr>
        <w:t>E. 9.1</w:t>
      </w:r>
    </w:p>
    <w:p>
      <w:r>
        <w:t>D'après la jurisprudence, une provision ad litem est due à l'époux qui ne dispose pas lui-même des moyens suffisants pour assumer les frais du procès en divorce. Le fondement de cette prestation - devoir d'assistance (art. 159 al. 3 CC) ou obligation d'entretien (art. 163 CC) - est controversé (sur cette question: arrêt du Tribunal fédéral 5P.346/2005 consid. 4.3, in Pra 2006 n° 130 p. 892 et les références; BRÄM, Zürcher Kommentar, n. 131 ss ad art. 159 CC, avec de nombreuses citations), mais cet aspect n'a pas d'incidence sur les conditions qui président à son octroi. En tout état, selon l'art. 163 al. 1 CC, la loi n'institue plus</w:t>
      </w:r>
    </w:p>
    <w:p>
      <w:r>
        <w:t>- 26/28 -</w:t>
      </w:r>
    </w:p>
    <w:p>
      <w:r>
        <w:t>C/18461/2012 un devoir général d'entretien à la charge du mari, mais une prise en charge conjointe des besoins de la famille au regard des facultés de chacun des époux (arrêt du Tribunal fédéral 5A_826/2008 du 5 juin 2009 consid. 2.1). Les contributions d'entretien ont en principe pour but de couvrir les besoins courants des bénéficiaires, et non de servir, comme la provision ad litem, à assumer les frais du procès en divorce. L'octroi d'une telle provision peut donc être justifié indépendamment du montant de la contribution à l'entretien de la famille arrêt du Tribunal fédéral 5A_448/2009 du 25 mai 2010, consid. 8.2). En l'espèce, l'appelant se contente d'affirmer que la contribution d'entretien qu'il offre de verser à son épouse est suffisante et lui permet également d'assumer ses frais de procès. Une telle motivation est insuffisante. L'ampleur de la procédure de première instance et d'appel, qui a compris de nombreux échanges d'écritures, les parties ayant l'une comme l'autre décidé d'instruire la cause par correspondance et de produire d'imposants chargés de pièces, rend vraisemblable que l'appelante a dû exposer le montant de 40'000 fr. alloué (ce qui correspond à 80 heures d'avocat chef d'étude, au prix de 500 fr. l'heure) en frais d'avocat et de justice. La contribution d'entretien fixée ci-dessus ne lui est au surplus allouée que dès le prononcé du présent arrêt. Le jugement attaqué sera dès lors confirmé sur ce point.</w:t>
      </w:r>
    </w:p>
    <w:p>
      <w:r>
        <w:rPr>
          <w:b/>
        </w:rPr>
        <w:t>E. 10</w:t>
      </w:r>
    </w:p>
    <w:p>
      <w:r>
        <w:t>Compte tenu de l'ampleur prise par la procédure d'appel, du fait que les deux parties ont déposé des pièces en langue étrangère sans les accompagner d'une traduction française, et inutilement produit de nombreuses pièces en plusieurs exemplaires, sous une numérotation différente, ce qui a largement compliqué le travail de la Cour, les frais judiciaires de l'appel sont fixés, procédure sur effet suspensif incluse, au montant maximal de 5'000 fr. prévu à l'art. 31 du Règlement fixant le tarif des greffes en matière civile. La nature familiale du litige inspire la Cour de mettre lesdits frais à la charge de chaque partie par moitié (art. 107 al. 1 let. c CPC). Ces frais sont couverts à concurrence de 3'950 fr. par l'avance de frais versée par l'appelant, laquelle est acquise à l'Etat. La part de frais de l'intimée représente 2'500 fr.; celle-ci sera, partant, condamnée à verser à ce titre 1'050 fr. aux Services financiers du pouvoir judiciaires et 1'450 fr. à l'appelant. Chaque partie supportera en outre ses propres dépens. * * * * *</w:t>
      </w:r>
    </w:p>
    <w:p>
      <w:r>
        <w:t>- 27/28 -</w:t>
      </w:r>
    </w:p>
    <w:p>
      <w:r>
        <w:t>C/18461/2012 PAR CES MOTIFS, La Chambre civile : A la forme : Déclare recevable l'appel interjeté par A______ contre les chiffres 2 à 17 du jugement JTPI/6689/2013 rendu le 13 mai 2013 par le Tribunal de première instance dans la cause C/18461/2012. Au fond : Annule les chiffres 6 à 14 du dispositif attaqué et le confirme pour le surplus. Statuant à nouveau : Condamne A______ à verser à B______, par mois et d'avance et dès le mois suivant le prononcé du présent arrêt, 30'000 fr. à titre de contribution à son entretien. Condamne A______ à verser à B______, par mois et d'avance et dès le mois suivant le prononcé du présent arrêt, 5'000 fr., allocations familiales non comprises, à titre de contribution à l'entretien d'E______, né le 19 septembre 1996. Dit que la contribution à l'entretien d'E______ devra être versée en mains de ce dernier dès le 19 septembre 2014. Dit qu'en sus de cette contribution, A______ prendra à sa charge les frais de scolarisation et d'hébergement d'E______ à l'Université de C______ ou dans une autre université, ainsi que les frais de ses entraînements de golf. Déboute les parties de toutes autres conclusions. Sur les frais : Arrête les frais de la procédure d'appel à 5'000 fr., les met à la charge de A______ et de B______ par moitié chacun et dit que l'avance de frais de 3'950 fr. versée par A______ est acquise à l'Etat. Condamne B______ à verser, à ce titre, 1'050 fr. aux Services financiers du pouvoir judiciaires et 1'450 fr. à A______. Dit que chaque partie supportera ses propres dépens d'appel. Siégeant : Madame Florence KRAUSKOPF, présidente, Madame Marguerite JACOT-DES- COMBES et Madame Elena SAMPEDRO, juges; Madame Nathalie DESCHAMPS, greffière.</w:t>
      </w:r>
    </w:p>
    <w:p>
      <w:r>
        <w:t>- 28/28 -</w:t>
      </w:r>
    </w:p>
    <w:p>
      <w:r>
        <w:t>C/18461/2012</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Conclusions ne présentant pas de valeur litigieuse, et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