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ACJC/473/2015 vom 7. Juli 2014</w:t>
      </w:r>
    </w:p>
    <w:p>
      <w:r>
        <w:t>GE Cour de justice, 2014-07-07, FR</w:t>
      </w:r>
    </w:p>
    <w:p>
      <w:r>
        <w:rPr>
          <w:b/>
        </w:rPr>
        <w:t xml:space="preserve">Quelle: </w:t>
      </w:r>
      <w:r>
        <w:t>https://mcp.opencaselaw.ch/entscheid/ge_gerichte_ACJC_473_2015</w:t>
      </w:r>
    </w:p>
    <w:p>
      <w:r>
        <w:t>FR: GE_GERICHTE ACJC/473/2015 du 7 juillet 2014</w:t>
      </w:r>
    </w:p>
    <w:p>
      <w:r>
        <w:t>IT: GE_GERICHTE ACJC/473/2015 del 7 luglio 2014</w:t>
      </w:r>
    </w:p>
    <w:p>
      <w:pPr>
        <w:pStyle w:val="Heading2"/>
      </w:pPr>
      <w:r>
        <w:t>Erwägungen</w:t>
      </w:r>
    </w:p>
    <w:p>
      <w:r>
        <w:rPr>
          <w:b/>
        </w:rPr>
        <w:t>E. 1</w:t>
      </w:r>
    </w:p>
    <w:p>
      <w:r>
        <w:t>À teneur de l'art. 122 let. b LOJ, la Chambre des baux et loyers de la Cour de justice connaît des recours dirigés contre les décisions au fond de la Commission de conciliation en matière de baux et loyers. Selon la jurisprudence de la Cour de justice (ACJC/793/2014 du 27 juin 2014), l'art. 122 let. b LOJ est également applicable aux autres décisions rendues par la Commission, en particulier celles statuant sur une demande de restitution de délai en application de l'art. 148 CPC. La Cour de justice est dès lors compétente pour connaître de l'appel formé par l'appelant contre la décision du 13 septembre 2013 rendue par la Commission refusant la restitution.</w:t>
      </w:r>
    </w:p>
    <w:p>
      <w:r>
        <w:rPr>
          <w:b/>
        </w:rPr>
        <w:t>E. 2.1</w:t>
      </w:r>
    </w:p>
    <w:p>
      <w:r>
        <w:t>Le Tribunal fédéral a récemment jugé que, contrairement au texte de l'art. 149 CPC, l'exclusion de toute voie de droit n'était pas opposable à la partie requérante. Le refus de restitution constitue une décision finale, contre laquelle la voie de l'ap- pel ou de recours est ouverte (arrêt du Tribunal fédéral 4A_137/2013 du</w:t>
      </w:r>
    </w:p>
    <w:p>
      <w:r>
        <w:rPr>
          <w:b/>
        </w:rPr>
        <w:t>E. 2.2</w:t>
      </w:r>
    </w:p>
    <w:p>
      <w:r>
        <w:t>Selon la jurisprudence constante du Tribunal fédéral, les contestations portant sur l'usage d'une chose louée sont de nature pécuniaire (arrêts du Tribunal fédéral 4C.310/1996 du 16 avril 1997 = SJ 1997 p. 493 consid. 1; 4A_473/2013 du 20 novembre 2013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w:t>
      </w:r>
    </w:p>
    <w:p>
      <w:r>
        <w:t>- 4/7 -</w:t>
      </w:r>
    </w:p>
    <w:p>
      <w:r>
        <w:t>C/7015/2014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4A_516/2007 du 6 mars 2008 consid. 1.1).</w:t>
      </w:r>
    </w:p>
    <w:p>
      <w:r>
        <w:rPr>
          <w:b/>
        </w:rPr>
        <w:t>E. 2.3</w:t>
      </w:r>
    </w:p>
    <w:p>
      <w:r>
        <w:t>En l'espèce, en prenant en compte la période de trois ans, la valeur litigieuse est vraisemblablement supérieure à 10'000 fr., même en l'absence de toute pièce permettant de déterminer le montant du loyer et des charges du logement.</w:t>
      </w:r>
    </w:p>
    <w:p>
      <w:r>
        <w:rPr>
          <w:b/>
        </w:rPr>
        <w:t>E. 2.4</w:t>
      </w:r>
    </w:p>
    <w:p>
      <w:r>
        <w:t>La Cour revoit la cause avec un plein pouvoir d'examen (art. 310 CPC; HOHL, Procédure civile, tome II, 2010, n. 2314 et 2416; RETORNAZ, op. cit., p. 349 ss, n. 121). 3. L'appel, de même que le recours, doit être écrit et motivé et avoir été formé dans le délai de trente jours dès la notification de la décision motivée (art. 311 al. 1 et 321 al. 1 CPC). 3.1. L'acte d'appel a, dans le cas d'espèce, été formé dans le délai de trente jours prescrit par la loi et en la forme écrite. 3.2. Les exigences de motivation sont les mêmes pour le recours et l'appel (CHAIX, Introduction au recours de la nouvelle procédure civile fédérale, in SJ 2009 p. 257 ss, 265). Il incombe à l'appelant de démontrer le caractère erroné de la motivation attaquée. Pour satisfaire à cette exigence, l'appelant ne peut se borner à renvoyer au moyen soulevé en première instance, ni à présenter des criti- ques toutes générales de la décision attaquée. Sa motivation doit être suffisam- ment explicite pour que l'instance d'appel puisse la comprendre aisément, ce qui suppose une désignation précise des passages de la décision que le recourant atta- que et des pièces du dossier sur lesquelles repose sa critique (ATF 138 III 374 consid. 4.3.1). En l'espèce, si l'on comprend que l'appelant conclut à l’annulation de la décision de la Commission de conciliation du 7 juillet 2014 et à l'acceptation de sa demande de restitution, son appel ne repose que sur l'allégation selon laquelle il n'aurait pas trouvé l'avis de retrait postal dans sa boîte aux lettres, en raison de "l'énorme quantité de publicité qu'on reçoit".</w:t>
      </w:r>
    </w:p>
    <w:p>
      <w:r>
        <w:t>- 5/7 -</w:t>
      </w:r>
    </w:p>
    <w:p>
      <w:r>
        <w:t>C/7015/2014 Cette argumentation n'ayant pas été invoquée dans sa demande de restitution auprès de la Commission de conciliation en matière de baux et loyers, il convient d'examiner si elle est recevable. 3.3. 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espèce, la critique de l'appelant repose sur des allégations de faits qui n'ont pas été soumises à la Commission, à savoir, en substance, qu'il n'a pas trouvé l'avis de retrait postal dans sa boîte aux lettres. Il n'expose toutefois pas les raisons pour lesquelles ces faits n’ont pas pu être déjà allégués en première instance. De plus, dans sa demande de restitution adressée le 10 juin 2014 à la Commission, l'appe- lant soutenait une autre version des faits, soit l'impossibilité de retirer la convo- cation à la poste en raison de son absence à l'étranger. Sa version des faits alléguée en appel étant nouvelle, elle sera déclarée irre- cevable. L'appelant ne critique d’aucune autre manière la motivation de la décision de la Commission selon laquelle le délai de garde de la convocation notifiée à l'appelant le 7 mai 2014 était venu à échéance le 14 mai 2014, soit lorsqu'il était à Genève. Par conséquent, la nouvelle version des faits alléguée par l’appelant doit être écartée de la procédure. En l'absence de ces faits, l'appel n'est pas motivé et devra être déclaré irrecevable. 4. Au demeurant, même si l'appel avait été déclarée recevable, il aurait dû, en tout état de cause, être rejeté. 4.1. Une partie est défaillante lorsqu'elle omet d'accomplir un acte de procédure dans le délai prescrit ou ne se présente pas lorsqu'elle est citée à comparaître (art. 147 al. 1 CPC). À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w:t>
      </w:r>
    </w:p>
    <w:p>
      <w:r>
        <w:t>- 6/7 -</w:t>
      </w:r>
    </w:p>
    <w:p>
      <w:r>
        <w:t>C/7015/2014 Le fardeau de la preuve incombe au requérant, la vraisemblance étant suffisante (TAPPY, in BOHNET/HALDY/JEANDIN/SCHWEIZER/TAPPY, Code de procédure civile commenté, Bâle, 2011, n. 6 ad art. 149 CPC). A été jugée non fautive l'inobservation d'un délai due à un accident ou une mala- 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 saires (RSPC 2005 23 et 156; 2009 36). Selon la doctrine, celui qui était au cou- 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 rement, mais elle peut prendre sa décision en tenant compte des circonstances, telles le type de procédure, la nature du délai ou de l'audience dont la restitution est sollicitée (TAPPY, op. cit., n. 20 ad art. 148 CPC). 4.2. Dans le cas d'espèce, l'appelant n'a pas rendu vraisemblable le fait qu'il n'ait pas été en mesure de retirer l'avis de retrait dans le délai de garde. Il n'a, d'une part, pas démontré avoir été à l'étranger à cette époque, ce que la Commission de conciliation a d'ailleurs refusé d’admettre. D'autre part, l'argument selon lequel sa boîte aux lettres aurait été encombrée - fait non recevable - par de la publicité, soit le motif qu’il invoque dans son appel, ne saurait être admis. En effet, si l'on devait admettre une telle argumentation, cela reviendrait à admettre toute demande de restitution de délai lorsqu'un avis de retrait postal est déposé dans une boîte aux lettres et n'est pas retiré dans le délai de garde. En effet, il est notoire que les boîtes aux lettres sont en général régulièrement encombrées de divers documents publicitaires et d’autres publications gratuites. Il incombe à chacun de faire le tri de ce qui se trouve dans sa boîte aux lettres afin de s'assurer qu'aucun avis de re- trait postal ne s'y trouve. Par conséquent, même si l'appel avait été déclaré recevable, ce qui n'est pas le cas, celui-ci aurait dû être rejeté. 5. À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- 7/7 -</w:t>
      </w:r>
    </w:p>
    <w:p>
      <w:r>
        <w:t>C/7015/2014 PAR CES MOTIFS, La Chambre des baux et loyers : Déclare irrecevable l'appel déposé le 11 juillet 2014 par A______ contre la décision de la Commission de conciliation en matière de baux et loyers du 7 juillet 2014 dans la cause C/7015/2014. Dit que la procédure est gratuite. Siégeant : Madame Nathalie LANDRY-BARTHE, présidente; Monsieur Laurent RIEBEN et Madame Fabienne GEISINGER-MARIÉTHOZ,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La valeur litigieuse est supérieure à 15'000 fr. (voir consid. 2.3).</w:t>
      </w:r>
    </w:p>
    <w:p>
      <w:r>
        <w:rPr>
          <w:b/>
        </w:rPr>
        <w:t>E. 7</w:t>
      </w:r>
    </w:p>
    <w:p>
      <w:r>
        <w:t>novembre 2013 consid. 6.3 et 7.3). Il convient donc de déterminer si la valeur litigieuse au dernier état des conclu- sions est de 10'000 fr. au moins (art. 308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