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ACJC/472/2016 vom 20. August 2010</w:t>
      </w:r>
    </w:p>
    <w:p>
      <w:r>
        <w:t>GE Cour de justice, 2010-08-20, FR</w:t>
      </w:r>
    </w:p>
    <w:p>
      <w:r>
        <w:rPr>
          <w:b/>
        </w:rPr>
        <w:t xml:space="preserve">Quelle: </w:t>
      </w:r>
      <w:r>
        <w:t>https://mcp.opencaselaw.ch/entscheid/ge_gerichte_ACJC_472_2016</w:t>
      </w:r>
    </w:p>
    <w:p>
      <w:r>
        <w:t>FR: GE_GERICHTE ACJC/472/2016 du 20 août 2010</w:t>
      </w:r>
    </w:p>
    <w:p>
      <w:r>
        <w:t>IT: GE_GERICHTE ACJC/472/2016 del 20 agosto 2010</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Le recours, écrit et motivé, est introduit auprès de l'instance de recours dans les trente jours à compter de la notification de la décision motivée ou de la notification postérieure de la motivation. Le délai est de dix jours pour les décisions prises en procédure sommaire et les ordonnances d'instruction, à moins que la loi n'en dispose autrement (art. 321 al. 1 et 2 CPC).</w:t>
      </w:r>
    </w:p>
    <w:p>
      <w:r>
        <w:t>Interjeté dans le délai de dix jours, contre une ordonnance d'instruction portant sur l'administration de preuves, le présent recours est recevable à cet égard.</w:t>
      </w:r>
    </w:p>
    <w:p>
      <w:r>
        <w:rPr>
          <w:b/>
        </w:rPr>
        <w:t>E. 1.2</w:t>
      </w:r>
    </w:p>
    <w:p>
      <w:r>
        <w:t>Dans le cadre d'un recours, l'autorité a un plein pouvoir d'examen en droit, mais un pouvoir limité à l'arbitraire en fait (art. 320 CPC; HOHL, Procédure civile, Tome II, 2ème éd., 2010, n. 2307).</w:t>
      </w:r>
    </w:p>
    <w:p>
      <w:r>
        <w:rPr>
          <w:b/>
        </w:rPr>
        <w:t>E. 1.3</w:t>
      </w:r>
    </w:p>
    <w:p>
      <w:r>
        <w:t>Les conclusions, les allégations de faits et les preuves nouvelles sont irrecevables (art. 326 CPC).</w:t>
      </w:r>
    </w:p>
    <w:p>
      <w:r>
        <w:rPr>
          <w:b/>
        </w:rPr>
        <w:t>E. 2</w:t>
      </w:r>
    </w:p>
    <w:p>
      <w:r>
        <w:t>Le recourant se plaint d'une violation de son droit d'être entendu, au motif que le Tribunal a désigné, en remplacement du Dr H______ admis par les parties, un organisme à Sion, sans inviter les parties à se déterminer sur l'identité du nouvel expert et sans motiver sa décision, alors qu'il s'écartait des conclusions tendant à ce qu'une personne physique à Genève soit désignée.</w:t>
      </w:r>
    </w:p>
    <w:p>
      <w:r>
        <w:rPr>
          <w:b/>
        </w:rPr>
        <w:t>E. 2.1</w:t>
      </w:r>
    </w:p>
    <w:p>
      <w:r>
        <w:t>Le droit d'être entendu des personnes parties à une procédure judiciaire est garanti par les art. 53 al. 1 CPC, 29 al. 2 Cst et 6 ch. 1 CEDH.</w:t>
      </w:r>
    </w:p>
    <w:p>
      <w:r>
        <w:t>Il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127 I 54 consid. 2b, JdT 2004 IV 96).</w:t>
      </w:r>
    </w:p>
    <w:p>
      <w:r>
        <w:t>Le droit de s'exprimer avant qu'une décision soit prise à son encontre ne concerne pas que les décisions finales. En effet, l'on doit reconnaître aux parties le droit de s'exprimer sur les décisions intermédiaires également, en particulier lorsque celles-ci ont une portée déterminante sur la décision finale qui suivra (GÖKSU, in Schweizerische Zivilprozessordnung (ZPO) Kommentar, 2011, n. 14 ad art. 53</w:t>
      </w:r>
    </w:p>
    <w:p>
      <w:r>
        <w:t>- 6/8 -</w:t>
      </w:r>
    </w:p>
    <w:p>
      <w:r>
        <w:t>C/11141/2013 CPC). Il ne se justifie cependant pas d'accorder ce droit aux parties si la situation juridique est claire, tel que dans le cas des avances de frais (GÖKSU, op. cit., n. 14 ad art. 53 CPC). En cas de doute, le droit d'être entendu doit néanmoins être garanti (GÖKSU, op. cit., n. 14 ad art. 53 CPC).</w:t>
      </w:r>
    </w:p>
    <w:p>
      <w:r>
        <w:t>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t>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Ainsi, les parties doivent pouvoir connaître les éléments de fait et de droit retenus par le juge pour arriver au dispositif (TAPPY, in CPC, Code de procédure civile commenté, 2011, n. 7 ad art. 238 CPC).</w:t>
      </w:r>
    </w:p>
    <w:p>
      <w:r>
        <w:t>A moins que le vice procédural puisse être réparé devant l'autorité de recours, en cas de violation d'une garantie procédurale, la cassation de la décision demeure la règle, dans la mesure où les justiciables peuvent, en principe, se prévaloir de la garantie du double degré de juridiction (ATF 137 I 195 consid. 2.3.2 et 2.7 in SJ 2011 I 345).</w:t>
      </w:r>
    </w:p>
    <w:p>
      <w:r>
        <w:rPr>
          <w:b/>
        </w:rPr>
        <w:t>E. 2.2</w:t>
      </w:r>
    </w:p>
    <w:p>
      <w:r>
        <w:t>Le tribunal peut, à la demande d'une partie ou d'office, demander une expertise à un ou plusieurs experts. Il entend préalablement les parties.</w:t>
      </w:r>
    </w:p>
    <w:p>
      <w:r>
        <w:t>Les parties doivent être entendues préalablement sur le principe (nature, utilité, étendue) de l'expertise et sur l'identité du ou des experts (SCHWEIZER, in CPC, Code de procédure civile commenté, 2011, n° 9 ad art. 183 CPC).</w:t>
      </w:r>
    </w:p>
    <w:p>
      <w:r>
        <w:rPr>
          <w:b/>
        </w:rPr>
        <w:t>E. 2.3</w:t>
      </w:r>
    </w:p>
    <w:p>
      <w:r>
        <w:t>En l'espèce, les parties ont pu s'exprimer sur la personnalité de l'expert avant que le Tribunal ne rende son ordonnance du 25 novembre 2014. Cette décision n'était pas motivée, s'agissant de la personnalité de l'expert, mais celui-ci répondait aux critères mentionnés par le recourant dans ses déterminations sur expertise (personne physique, à Genève). Après que ledit expert ait indiqué ne pouvoir accepter la mission qui lui était confiée, le Tribunal, sans interpeller les</w:t>
      </w:r>
    </w:p>
    <w:p>
      <w:r>
        <w:t>- 7/8 -</w:t>
      </w:r>
    </w:p>
    <w:p>
      <w:r>
        <w:t>C/11141/2013 parties, a désigné un nouvel expert, ne répondant plus aux critères précités, et sans motiver aucunement sa décision.</w:t>
      </w:r>
    </w:p>
    <w:p>
      <w:r>
        <w:t>Il a, partant, violé le droit d'être entendu du recourant. Le pouvoir d'examen de la Cour étant limité dans le cadre d'un recours, celui-ci étant de nature cassatoire, il ne peut être remédié à cette violation de sorte que l'ordonnance doit être annulée et le dossier renvoyé au premier juge pour nouvelle décision dans le respect des règles procédurales.</w:t>
      </w:r>
    </w:p>
    <w:p>
      <w:r>
        <w:t>Au vu des considérations qui précèdent, il n'y a pas lieu d'examiner les autres griefs soulevés par le recourant.</w:t>
      </w:r>
    </w:p>
    <w:p>
      <w:r>
        <w:rPr>
          <w:b/>
        </w:rPr>
        <w:t>E. 3</w:t>
      </w:r>
    </w:p>
    <w:p>
      <w:r>
        <w:t>L'issue du litige et ses raisons commandent de renoncer au prélèvement de tout émolument de recours, de sorte que l'avance versée par le recourant lui sera restituée.</w:t>
      </w:r>
    </w:p>
    <w:p>
      <w:r>
        <w:t>L'intimée, qui succombe, sera condamnée à verser au recourant 500 fr. à titre de dépens (art. 23 al. 1 de la loi d'application du code civil suisse et autres lois fédérales en matière civile du 28 novembre 2010, LaCC - E 1 05; art. 85, 87 et 90 du Règlement fixant le tarif des frais en matière civile, RTFMC - E 1 05.10). * * * * *</w:t>
      </w:r>
    </w:p>
    <w:p>
      <w:r>
        <w:t>- 8/8 -</w:t>
      </w:r>
    </w:p>
    <w:p>
      <w:r>
        <w:t>C/11141/2013 PAR CES MOTIFS, La Chambre civile : A la forme : Déclare recevable le recours interjeté par A______ contre l'ordonnance n° ORTPI/788/2015 rendue le 27 novembre 2015 par le Tribunal de première instance dans la cause C/11141/2013-8. Au fond : L'admet. Annule le chiffre 3 de ladite ordonnance. Renvoie la cause au Tribunal pour nouvelle ordonnance dans le sens des considérants. Sur les frais du recours : Dit qu'il n'est pas prélevé d'émolument de recours. Ordonne en conséquence la restitution par l'Etat de Genève à A______ de l'avance de 1'200 fr. fournie par lui. Condamne B______ à verser à A______ la somme de 500 fr. à titre de dépens de recours.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