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ACJC/472/2015 vom 27. April 2015</w:t>
      </w:r>
    </w:p>
    <w:p>
      <w:r>
        <w:t>GE Cour de justice, 2015-04-27, FR</w:t>
      </w:r>
    </w:p>
    <w:p>
      <w:r>
        <w:rPr>
          <w:b/>
        </w:rPr>
        <w:t xml:space="preserve">Quelle: </w:t>
      </w:r>
      <w:r>
        <w:t>https://mcp.opencaselaw.ch/entscheid/ge_gerichte_ACJC_472_2015</w:t>
      </w:r>
    </w:p>
    <w:p>
      <w:r>
        <w:t>FR: GE_GERICHTE ACJC/472/2015 du 27 avril 2015</w:t>
      </w:r>
    </w:p>
    <w:p>
      <w:r>
        <w:t>IT: GE_GERICHTE ACJC/472/2015 del 27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consid.1.1; arrêts du Tribunal fédéral 4A_367/2010 du 4 octobre 2010 consid. 1.1; 4A_127/2008 du 2 juin 2008 consid. 1.1; 4A_516/2007 du 6 mars 2008 consid. 1.1). S'agissant d'une demande de prolongation de bail, la valeur litigieuse se détermine en additionnant les loyers et frais accessoires pour la durée de la prolongation encore litigieuse restant à courir (ATF 113 II 406 consid. 1; arrêt du Tribunal fédéral 4A_104/2013 du 7 août 2013 consid. 1.1).</w:t>
      </w:r>
    </w:p>
    <w:p>
      <w:r>
        <w:rPr>
          <w:b/>
        </w:rPr>
        <w:t>E. 1.2</w:t>
      </w:r>
    </w:p>
    <w:p>
      <w:r>
        <w:t>En l'espèce, devant le premier juge le litige portait sur la validité du contrat de bail ainsi que sur une éventuelle prolongation des baux pour une durée de six ans échéant au 31 août 2018 pour le cas où la première hypothèse serait retenue. Compte tenu du loyer annuel, charges comprises, de 6'444 fr.,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2</w:t>
      </w:r>
    </w:p>
    <w:p>
      <w:r>
        <w:t>La Cour revoit la cause avec un plein pouvoir d'examen (art. 310 CPC; HOHL, Procédure civile, tome II, 2010, n. 2314 et 2416; RETORNAZ, L'appel et le recours, in Procédure civile suisse, 2010, p. 349 ss, n. 121). Les litiges portant sur des baux à loyer d'habitation ou de locaux commerciaux sont soumis, en ce qui concerne la protection contre les congés ou la prolongation de bail, aux règles de la procédure simplifiée (art. 243 al. 2 let. c CPC). Le tribunal établit les faits d'office (art. 247 al. 1 let. a CPC).</w:t>
      </w:r>
    </w:p>
    <w:p>
      <w:r>
        <w:t>- 6/10 -</w:t>
      </w:r>
    </w:p>
    <w:p>
      <w:r>
        <w:t>C/27275/2013 Les maximes de procédure qui ont prévalu en première instance s'appliquent éga- lement en appel (VOLKART, DIKE-Komm-ZPO, 2011, n. 7 ss ad art. 316 CPC; REETZ/HILBER, Kommentar zur schweizerischen Zivilprozessordnung, 2ème éd., 2013, n. 16 ad art. 316 CPC).</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pièce 14 produite par l’intimée, à savoir l'extrait du Registre du commerce, est recevable dans la mesure où il s'agit d'un fait notoire, à savoir qui peut être contrôlé par la consultation de publications accessibles à chacun (ATF 135 III 88 consid. 4.1 et arrêt du Tribunal fédéral 4A_645/2011 du 27 janvier 2012 consid. 3.4.2). Les pièces 18 à 20 sont postérieures au jugement entrepris, de sorte qu'elles sont également recevables, ainsi que la pièce 17, soit le jugement entrepris (art. 311 al. 2 CPC). En revanche, les pièces 15 et 16 existaient antérieurement au jugement entrepris. Dès lors, elles sont irrecevables, étant relevé qu'elles ne sont pas décisives pour l'issue du litige.</w:t>
      </w:r>
    </w:p>
    <w:p>
      <w:r>
        <w:rPr>
          <w:b/>
        </w:rPr>
        <w:t>E. 4</w:t>
      </w:r>
    </w:p>
    <w:p>
      <w:r>
        <w:t>L'appelante ne remet en cause que la durée de la prolongation de bail octroyée, la validité du congé n'étant plus contestée. Elle soutient que le Tribunal n'aurait pas suffisamment pris en compte ses intérêts à obtenir une prolongation du contrat.</w:t>
      </w:r>
    </w:p>
    <w:p>
      <w:r>
        <w:rPr>
          <w:b/>
        </w:rPr>
        <w:t>E. 4.1</w:t>
      </w:r>
    </w:p>
    <w:p>
      <w:r>
        <w:t>Aux termes des art. 272 al. 1 et 272b al. 1 CO, le locataire peut demander la prolongation d'un bail de locaux commerciaux pour une durée de six ans au maxi- 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w:t>
      </w:r>
    </w:p>
    <w:p>
      <w:r>
        <w:t>- 7/10 -</w:t>
      </w:r>
    </w:p>
    <w:p>
      <w:r>
        <w:t>C/27275/2013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102 II 254). L'octroi d'une seule prolongation se justifie lorsqu'il apparaît d'emblée qu'une seconde est exclue, ainsi lorsque le preneur n'a plus besoin des locaux à l'échéance du délai de grâce ou s'il est certain qu'il aura retrouvé une surface de remplace- ment à cette date ou enfin lorsque les intérêts du bailleur l'emportent nécessaire- ment sur ceux du preneur à ce moment. Dans l'hypothèse inverse, d'un besoin de relogement du locataire susceptible de subsister à l'expiration de la première pro- 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 gation, plutôt que d'exiger deux procédures successives, ne violait pas le droit fédéral (arrêts du Tribunal fédéral 4A_167/2012 du 2 août 2012 consid. 2.3; 4A_735/2011 du 16 janvier 2012 consid. 2.5 et 4A_621/2009 du 25 février 2010 consid. 2.4.2).</w:t>
      </w:r>
    </w:p>
    <w:p>
      <w:r>
        <w:rPr>
          <w:b/>
        </w:rPr>
        <w:t>E. 4.2</w:t>
      </w:r>
    </w:p>
    <w:p>
      <w:r>
        <w:t>En l'espèce, l'appelante ne prétend pas que le Tribunal se serait fondé sur des critères erronés ou qu'il aurait méconnu des éléments de faits. Elle lui reproche uniquement son appréciation quant à la durée fixée pour la prolongation du bail, soit une année, échéant au 31 août 2015.</w:t>
      </w:r>
    </w:p>
    <w:p>
      <w:r>
        <w:t>- 8/10 -</w:t>
      </w:r>
    </w:p>
    <w:p>
      <w:r>
        <w:t>C/27275/2013 Les rapports de bail qui lient les parties existent depuis décembre 2006, soit un peu plus de neuf ans. Le Tribunal a retenu que l'appelante a effectué des recherches infructueuses, alors même que la locataire n'a fait entendre aucun témoin ni produit aucun document à cet égard. Celle-ci n'a d’ailleurs déposé en appel aucune pièce prouvant qu’elle poursuivrait activement ses recherches, notamment qu’elle aurait pris contact avec les bailleurs des locaux que lui a signalés l'intimée. Le Tribunal a, en outre, pris en compte le fait que l'appelante désire se reloger à proximité de ses locaux actuels, alors même qu'elle travaille essentiellement chez ses clients de sorte que son déménagement dans une autre région ne devrait pas avoir pour conséquence de lui faire perdre de la clientèle. Il a enfin considéré que l'appelante désirait des locaux adéquats à son activité, soit un lieu où il est aisé d'accéder à un stock de matériel. A cela s'ajoute que l'appe- lante n'exerçant pas une activité soumise à autorisation, n'importe quel local com- mercial en rez-de-chaussée devrait lui convenir. Il ne saurait être tenu compte des incidences directes du déménagement (frais déménagements, d'information des clients, etc.) qui interviendront même si la résiliation du bail devait être reportée. En tenant compte du fait que l'intimée a donné son avis de résiliation sept mois avant la fin du bail, la prolongation d'une année supplémentaire accordée par le Tribunal permet à l'appelante de bénéficier d'une durée de dix-neuf mois pour se reloger. Comme il n'existe pas de pénurie s'agissant des locaux commerciaux, l'ap- pelante devrait pouvoir trouver un nouveau local dans un tel délai, même si les nouveaux locaux n'auront pas forcément toutes les qualités de l'emplacement actuel, notamment en matière de loyer. De son côté, l'intimée a prouvé un besoin urgent de disposer de place pour ses ar- chives de sorte qu'on ne saurait repousser plus avant la libération des locaux. Enfin, dans la mesure où la situation n'est pas de nature à évoluer, il se justifie de n'accorder qu'une unique prolongation du contrat de bail litigieux. Compte tenu de l'ensemble des circonstances précitées, c'est à juste titre que le Tribunal a accordé à l'appelante une unique prolongation de bail d'une année, échéant le 31 août 2015. Le jugement entrepris sera donc confirmé.</w:t>
      </w:r>
    </w:p>
    <w:p>
      <w:r>
        <w:rPr>
          <w:b/>
        </w:rPr>
        <w:t>E. 5</w:t>
      </w:r>
    </w:p>
    <w:p>
      <w:r>
        <w:t>A teneur de l'art. 22 al. 1 LaCC, il n’est pas prélevé de frais (frais judiciaires et dépens) dans les causes soumises à la juridiction des baux et loyers, étant rappelé</w:t>
      </w:r>
    </w:p>
    <w:p>
      <w:r>
        <w:t>- 9/10 -</w:t>
      </w:r>
    </w:p>
    <w:p>
      <w:r>
        <w:t>C/27275/2013 que l'art. 116 al. 1 CPC autorise les cantons à prévoir des dispenses de frais dans d'autres litiges que ceux visés à l'art. 114 CPC (ATF 138 III 182 consid. 2.6).</w:t>
      </w:r>
    </w:p>
    <w:p>
      <w:r>
        <w:rPr>
          <w:b/>
        </w:rPr>
        <w:t>E. 6</w:t>
      </w:r>
    </w:p>
    <w:p>
      <w:r>
        <w:t>La valeur litigieuse est supérieure à 15'000 fr., de sorte que le recours en matière civile auprès du Tribunal fédéral peut être interjeté contre la présente décision (art. 51 al. 1 et 74 al. 1 let. a LTF). * * * * *</w:t>
      </w:r>
    </w:p>
    <w:p>
      <w:r>
        <w:t>- 10/10 -</w:t>
      </w:r>
    </w:p>
    <w:p>
      <w:r>
        <w:t>C/27275/2013 PAR CES MOTIFS, La Chambre des baux et loyers : A la forme : Déclare recevable l'appel interjeté le 28 novembre 2014 par A______ SARL contre le jugement JTBL/1220/2014 rendu le 28 octobre 2014 par le Tribunal des baux et loyers dans la cause C/27275/2013-3-OSB.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