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ACJC/471/2018 vom 23. April 2018</w:t>
      </w:r>
    </w:p>
    <w:p>
      <w:r>
        <w:t>GE Cour de justice, 2018-04-23, FR</w:t>
      </w:r>
    </w:p>
    <w:p>
      <w:r>
        <w:rPr>
          <w:b/>
        </w:rPr>
        <w:t xml:space="preserve">Quelle: </w:t>
      </w:r>
      <w:r>
        <w:t>https://mcp.opencaselaw.ch/entscheid/ge_gerichte_ACJC_471_2018</w:t>
      </w:r>
    </w:p>
    <w:p>
      <w:r>
        <w:t>FR: GE_GERICHTE ACJC/471/2018 du 23 avril 2018</w:t>
      </w:r>
    </w:p>
    <w:p>
      <w:r>
        <w:t>IT: GE_GERICHTE ACJC/471/2018 del 23 aprile 2018</w:t>
      </w:r>
    </w:p>
    <w:p>
      <w:pPr>
        <w:pStyle w:val="Heading2"/>
      </w:pPr>
      <w:r>
        <w:t>Erwägungen</w:t>
      </w:r>
    </w:p>
    <w:p>
      <w:r>
        <w:rPr>
          <w:b/>
        </w:rPr>
        <w:t>E. 1.1</w:t>
      </w:r>
    </w:p>
    <w:p>
      <w:r>
        <w:t>La voie de l'appel est ouverte à l'encontre d'une décision rendue sur mesures provisionnelles au sens de l'art. 308 al. 1 let. b CPC et statuant sur une affaire non pécuniaire dans son ensemble, puisque portant sur les droits parentaux.</w:t>
      </w:r>
    </w:p>
    <w:p>
      <w:r>
        <w:rPr>
          <w:b/>
        </w:rPr>
        <w:t>E. 1.2</w:t>
      </w:r>
    </w:p>
    <w:p>
      <w:r>
        <w:t>La Cour dispose d'un pouvoir d'examen complet (art. 310 CPC).</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t>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w:t>
      </w:r>
    </w:p>
    <w:p>
      <w:r>
        <w:rPr>
          <w:b/>
        </w:rPr>
        <w:t>E. 1.3.1</w:t>
      </w:r>
    </w:p>
    <w:p>
      <w:r>
        <w:t>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t>L'appel étant une voie de réforme dans la mesure où la Cour peut confirmer la décision ou statuer à nouveau (art. 318 let. a et b CPC), l'appelant ne doit pas se borner à demander l'annulation de la décision attaquée et le renvoi de la cause à</w:t>
      </w:r>
    </w:p>
    <w:p>
      <w:r>
        <w:t>- 14/22 -</w:t>
      </w:r>
    </w:p>
    <w:p>
      <w:r>
        <w:t>C/24193/2016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 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(ATF 137 III 617 consid. 4.2, 4.3, 4.5 et 5.2, JdT 2014 II 187, SJ 2012 I 373; arrêt du Tribunal fédéral 4A_587/2012 du 9 janvier 2013 consid. 2).</w:t>
      </w:r>
    </w:p>
    <w:p>
      <w:r>
        <w:t>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t>Le défaut de motivation ou des conclusions déficientes ne sont pas de nature mineure et ne justifient pas la fixation par le tribunal d'un délai pour réparer le vice (art. 132 CPC; ATF 134 II 244 consid. 2.4.2, JdT 2009 I 716; arrêts du Tribunal fédéral 4D_8/2013 du 8 avril 2013 consid. 2; 4A_383/2013 du</w:t>
      </w:r>
    </w:p>
    <w:p>
      <w:r>
        <w:rPr>
          <w:b/>
        </w:rPr>
        <w:t>E. 1.3.2</w:t>
      </w:r>
    </w:p>
    <w:p>
      <w:r>
        <w:t>En l'espèce, l'appelant a pris, formellement, des conclusions cassatoires seulement, dès lors qu'il ne conclut pas expressément aux mesures que devraient prononcer la Cour en lieu et place de celles ordonnées par le Tribunal. Cependant, il découle sans ambiguïté du texte de son appel qu'il demande l'application des conclusions prises par le SEASP dans le rapport rendu le 25 septembre 2017, à savoir que l'intimée n'ait pas d'échange avec les enfants hors des visites et que son droit de visite s'exerce un week-end sur deux du vendredi après-midi à leur sortie de l'école au lundi matin à leur retour de l'école, ainsi que durant la moitié des vacances scolaires sans excéder sept jours consécutifs, voire que le droit de visite de la mère soit suspendu.</w:t>
      </w:r>
    </w:p>
    <w:p>
      <w:r>
        <w:t>Ainsi, la modification requise sur ce point de la décision entreprise peut être comprise sans difficulté à la lecture de la motivation. Il sera donc entré en matière sur l'appel en ce qu'il vise l'annulation des ch. 1, 2 et 4 du dispositif de l'ordonnance attaquée.</w:t>
      </w:r>
    </w:p>
    <w:p>
      <w:r>
        <w:t>Pour le surplus, l'appel sera déclaré irrecevable en ce qu'il vise les ch. 10 et 12 du dispositif de l'ordonnance attaquée, en particulier sur la question des frais pour</w:t>
      </w:r>
    </w:p>
    <w:p>
      <w:r>
        <w:t>- 15/22 -</w:t>
      </w:r>
    </w:p>
    <w:p>
      <w:r>
        <w:t>C/24193/2016 laquelle l'appelant ne fournit, y compris dans sa motivation, aucune explication sur la décision que devrait rendre la Cour à la place de celle du Tribunal. D'ailleurs, l'appel consiste, outre les reproches formulés contre le Tribunal pour s'être éloigné des conclusions du rapport du SEASP, en une suite de considérations juridiques générales, par lesquels l'appelant n'expose pas en quoi, concrètement, la décision entreprise devrait être modifiée.</w:t>
      </w:r>
    </w:p>
    <w:p>
      <w:r>
        <w:t>Interjeté dans le délai utile de dix jours (art. 271 let. a, 276 et 314 al. 1 CPC), l'appel sera ainsi déclaré recevable, en ce qu'il porte sur la garde des enfants et la prise en compte du rapport du SEASP à ce sujet.</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tous les nova sont admis en appel (ACJC/365/2015; TREZZINI, in Commentario al Codice di diritto processuale civile svizzero (CPC), 2011, p. 1394; TAPPY, Les voies de droit du nouveau Code de procédure civile, JdT 2010 III p. 115 ss, p. 139).</w:t>
      </w:r>
    </w:p>
    <w:p>
      <w:r>
        <w:rPr>
          <w:b/>
        </w:rPr>
        <w:t>E. 2.2</w:t>
      </w:r>
    </w:p>
    <w:p>
      <w:r>
        <w:t>Toutes les pièces nouvelles produites par les parties, ainsi que les faits qui s'y rapportent, sont en lien avec la situation personnelle des enfants mineurs, de sorte qu'elles sont recevables.</w:t>
      </w:r>
    </w:p>
    <w:p>
      <w:r>
        <w:rPr>
          <w:b/>
        </w:rPr>
        <w:t>E. 3</w:t>
      </w:r>
    </w:p>
    <w:p>
      <w:r>
        <w:t>Il s'agit d'examiner si le Tribunal s'est écarté à bon droit des conclusions du rapport rédigé par le SEASP.</w:t>
      </w:r>
    </w:p>
    <w:p>
      <w:r>
        <w:rPr>
          <w:b/>
        </w:rPr>
        <w:t>E. 3.1</w:t>
      </w:r>
    </w:p>
    <w:p>
      <w:r>
        <w:t>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Selon la jurisprudence, la modification ne peut être envisagée que si le maintien de la</w:t>
      </w:r>
    </w:p>
    <w:p>
      <w:r>
        <w:t>- 16/22 -</w:t>
      </w:r>
    </w:p>
    <w:p>
      <w:r>
        <w:t>C/24193/2016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w:t>
      </w:r>
    </w:p>
    <w:p>
      <w:r>
        <w:rPr>
          <w:b/>
        </w:rPr>
        <w:t>E. 3.2</w:t>
      </w:r>
    </w:p>
    <w:p>
      <w:r>
        <w:t>Lorsqu'il statue sur la garde de l'enfant, les relations personnelles ou la participation de chaque parent à la prise en charge de l'enfant, le juge tient compte du droit de l'enfant d'entretenir régulièrement des relations personnelles avec ses deux parents (art. 298 al. 2bis CC).</w:t>
      </w:r>
    </w:p>
    <w:p>
      <w:r>
        <w:t>L'art. 273 al. 1 CC applicable par renvoi des art. 276 al. 1 CPC et 176 al. 3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130 III 585 consid. 2.1; arrêts du Tribunal fédéral 5A_22/2017 du 22 février 2017 consid. 3.1.1;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5A_618/2017 du 2 février 2018 consid. 4.2).</w:t>
      </w:r>
    </w:p>
    <w:p>
      <w:r>
        <w:t>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w:t>
      </w:r>
    </w:p>
    <w:p>
      <w:r>
        <w:t>- 17/22 -</w:t>
      </w:r>
    </w:p>
    <w:p>
      <w:r>
        <w:t>C/24193/2016 l'attribution de la garde à l'un des parents (arrêt du Tribunal fédéral 5A_837/2017 du 27 février 2018 consid. 3.2.2).</w:t>
      </w:r>
    </w:p>
    <w:p>
      <w:r>
        <w:t>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singulièrement ATF 142 III 617 consid. 3.2.3).</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5A_837/2017 du 27 février 2018 consid. 3.2.2).</w:t>
      </w:r>
    </w:p>
    <w:p>
      <w:r>
        <w:rPr>
          <w:b/>
        </w:rPr>
        <w:t>E. 3.3</w:t>
      </w:r>
    </w:p>
    <w:p>
      <w:r>
        <w:t>Le juge n'est pas lié par les conclusions du SPMi (dont les compétences en matière d'évaluation familiale ont été transférées au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Le juge peut ainsi s'écarter des conclusions du rapport à des conditions moins strictes que celles applicables lorsqu'il s'agit d'une expertise judiciaire (arrêt du Tribunal fédéral 4A_794/2017 du 7 février 2018 consid. 4.1).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3.4</w:t>
      </w:r>
    </w:p>
    <w:p>
      <w:r>
        <w:t>En l'espèce, l'appelant se plaint de ce que le premier juge aurait retenu seulement les éléments favorables à l'intimée dans le rapport du SEASP.</w:t>
      </w:r>
    </w:p>
    <w:p>
      <w:r>
        <w:t>- 18/22 -</w:t>
      </w:r>
    </w:p>
    <w:p>
      <w:r>
        <w:t>C/24193/2016 Ce document constituait le reflet des opinions de personnes spécialisées, objectives et indépendantes et insistait sur la souffrance psychique des enfants causée par la mère. Le souhait de B______ de passer plus de temps auprès de sa mère ne pouvait pas être considéré comme un souhait réel. L'intimée accentuait le conflit de loyauté dans lequel l'enfant était prise. Les enfants devaient donc être protégés du discours de leur mère.</w:t>
      </w:r>
    </w:p>
    <w:p>
      <w:r>
        <w:t>Les autres parties concluent à la confirmation de la décision et s'y réfèrent. Le curateur des enfants insiste sur l'effet positif qu'aurait sur B______ la perspective de voir sa mère plus souvent.</w:t>
      </w:r>
    </w:p>
    <w:p>
      <w:r>
        <w:t>Par principe, le Tribunal n'est pas lié par le rapport du SEASP, ainsi qu'il l'a relevé à juste titre. Il s'agit d'un élément de preuve parmi d'autres. Sous cet angle déjà, l'argumentaire du recourant doit être rejeté. De plus, le Tribunal a fourni, par un argumentaire détaillé et équilibré, les raisons pour lesquelles les conclusions du SEASP ne pouvaient pas être suivies.</w:t>
      </w:r>
    </w:p>
    <w:p>
      <w:r>
        <w:t>Ainsi, le Tribunal a notamment exclu, à bon escient, l'existence du prétendu épisode d'empoisonnement aux médicaments des enfants par leur mère, sur lequel l'appelant revient devant la Cour de céans en n'alléguant toutefois aucun élément nouveau. Il ressort ainsi des constatations du médecin intervenu sur place que les enfants n'étaient pas en danger (l'appel à un médecin démontrant par ailleurs la capacité de la mère à interpeller des soignants si elle l'estime nécessaire). D'ailleurs, comme l'a souligné le Tribunal, l'appelant n'aurait pas attendu trois mois pour faire état de cet événement, s'il avait réellement suscité chez lui les inquiétudes qu'il invoque.</w:t>
      </w:r>
    </w:p>
    <w:p>
      <w:r>
        <w:t>L'appelant mentionne en outre deux jours d'absence de sa fille depuis le début de l'année scolaire, ce qui paraît irrelevant en l'état, puisque des absences aussi limitées sur un trimestre ne sont pas symptomatiques d'une situation mettant en péril le bien de l'enfant.</w:t>
      </w:r>
    </w:p>
    <w:p>
      <w:r>
        <w:t>Contrairement à ce que soutient l'appelant, il ne ressort pas du dossier que l'appelante contribuerait au mal-être des enfants, ni que leurs souhaits de la voir plus souvent ne correspondrait à une envie réelle. A l'instar des développements du Tribunal, il découle bien plutôt de l'historique de la famille que la limitation des relations entre les enfants et leur mère pourrait avoir été l'un des facteurs aggravant la dégradation de la situation familiale et, en particulier, avoir contribué aux problèmes psychiques et scolaires rencontrés par les enfants. Si une garde alternée ne paraît pas envisageable en l'état, en raison de l'acuité du conflit parental et afin de ne pas déstabiliser les enfants, si, sur le fond, une telle solution n'était pas retenue, les conditions pour une limitation du droit de visite ne sont pas réunies, en l'absence de toute mise en danger des enfants par leur mère. A ce sujet, le rapport du SEASP n'emporte pas la conviction, puisqu'il occulte les avis de</w:t>
      </w:r>
    </w:p>
    <w:p>
      <w:r>
        <w:t>- 19/22 -</w:t>
      </w:r>
    </w:p>
    <w:p>
      <w:r>
        <w:t>C/24193/2016 certains spécialistes et recommande une suppression des contacts téléphoniques et une limitation du droit de visite à un weekend sur deux, tout en préconisant, de façon contradictoire, des séjours de sept jours consécutifs pendant les vacances chez la mère.</w:t>
      </w:r>
    </w:p>
    <w:p>
      <w:r>
        <w:t>Le Tribunal a, à juste titre, souligné que le souhait des deux enfants, mais de B______ plus particulièrement, de passer plus de temps auprès de leur mère, devait être entendu. Il s'est appuyé sur l'avis de la thérapeute de B______, confirmé en appel, ainsi que de son éducatrice scolaire et de son curateur, qui constituent autant de témoignages de personnes spécialisées proches de la jeune fille plaidant en faveur de l'augmentation du droit de visite chez la mère et confirmant que cette augmentation ne met pas l'enfant en danger, mais, bien au contraire, contribuerait vraisemblablement à son bien-être. S'agissant de C______, au vu de son âge, il a été correctement tenu compte de ses souhaits actuels, soit de ne plus voir sa mère pendant un certain temps, tout en s'assurant que, dans son intérêt, le lien avec celle-ci ne serait pas rompu.</w:t>
      </w:r>
    </w:p>
    <w:p>
      <w:r>
        <w:t>Le Tribunal n'a, enfin, pas retenu uniquement les éléments favorables à l'intimée dans le rapport, mais a, au contraire, admis les problèmes psychologiques rencontrés par l'intimée - qui n'exposent pas les enfants à un quelconque danger -, tout en mettant en avant les lacunes de ce rapport concernant les manquements de l'appelant, afin de corriger la présentation incomplète des faits effectuée par le SEASP.</w:t>
      </w:r>
    </w:p>
    <w:p>
      <w:r>
        <w:t>Pour le surplus, il peut être renvoyé à la motivation du Tribunal, dans la mesure où les critiques de l'appelante ne la visent pas plus particulièrement.</w:t>
      </w:r>
    </w:p>
    <w:p>
      <w:r>
        <w:rPr>
          <w:b/>
        </w:rPr>
        <w:t>E. 3.5</w:t>
      </w:r>
    </w:p>
    <w:p>
      <w:r>
        <w:t>La décision entreprise sera donc confirmée.</w:t>
      </w:r>
    </w:p>
    <w:p>
      <w:r>
        <w:rPr>
          <w:b/>
        </w:rPr>
        <w:t>E. 4.1</w:t>
      </w:r>
    </w:p>
    <w:p>
      <w:r>
        <w:t>Selon l'art. 299 al. 1 CPC, le tribunal saisi d'une procédure de droit matrimonial peut ordonner la représentation de l'enfant mineur et désigner à cet effet un curateur expérimenté. Ce représentant de l'enfant peut alors déposer des conclusions lorsqu'il s'agit de décisions relatives à l'attribution de l'autorité parentale ou de la garde, de questions importantes concernant les relations personnelles ou de mesures de protection de l'enfant (art. 300 CPC). Les frais de représentation de l'enfant sont compris dans les frais judiciaires dont le tribunal (saisi de la procédure matrimoniale) arrête la quotité et détermine la répartition entre les parties (art. 95 al. 2 let. e, art. 104, 105 al. 1 CPC).</w:t>
      </w:r>
    </w:p>
    <w:p>
      <w:r>
        <w:t>Lorsque le curateur est un avocat, le tribunal doit arrêter les frais de représentation de l'enfant selon le tarif cantonal, en vertu de l'art. 96 CPC (SUTER/VON HOLZEN, Kommentar der Schweizerischen Zivilprozessordnung, 3éme éd., 2016, n. 27 ad art. 95; RÜEGG/ RÜEGG, Basler Kommentar - ZPO, 3éme éd., 2017, n. 15 ad art. 95).</w:t>
      </w:r>
    </w:p>
    <w:p>
      <w:r>
        <w:t>- 20/22 -</w:t>
      </w:r>
    </w:p>
    <w:p>
      <w:r>
        <w:t>C/24193/2016</w:t>
      </w:r>
    </w:p>
    <w:p>
      <w:r>
        <w:rPr>
          <w:b/>
        </w:rPr>
        <w:t>E. 4.2</w:t>
      </w:r>
    </w:p>
    <w:p>
      <w:r>
        <w:t>En l'espèce, un curateur de représentation des enfants mineurs des parties a été nommé par le Tribunal, en la personne d'un avocat. Celui-ci a représenté les enfants en deuxième instance.</w:t>
      </w:r>
    </w:p>
    <w:p>
      <w:r>
        <w:t>Le curateur a produit un état de frais de 1'800 fr., montant qui paraît adéquat au vu de l'activité déployée par celui-ci et que les parties ne contestent au demeurant pas.</w:t>
      </w:r>
    </w:p>
    <w:p>
      <w:r>
        <w:t>Partant, la Cour de céans arrête la rémunération du curateur de l'enfant à 1'800 fr., en vertu des art. 84, 86 et 90 RTFMC (E 1 05.10), applicables par analogie au défraiement du représentant professionnel d'un enfant mineur.</w:t>
      </w:r>
    </w:p>
    <w:p>
      <w:r>
        <w:rPr>
          <w:b/>
        </w:rPr>
        <w:t>E. 5.1</w:t>
      </w:r>
    </w:p>
    <w:p>
      <w:r>
        <w:t>Les frais judiciaires seront ainsi arrêtés à 2'800 fr., dont 1'000 fr. pour l'émolument de décision sur appel (art. 33 et 35 RTFMC), et 1'800 fr. pour la rémunération du curateur de l'enfant (cf. supra consid. 4.2). Les frais d'émolument de décision seront compensés avec l'avance de 1'000 fr. fournie par l'appelant, qui reste acquise à l'Etat de Genève (art. 111 al. 1 CPC).</w:t>
      </w:r>
    </w:p>
    <w:p>
      <w:r>
        <w:t>Bien que le litige soit de nature familiale, l'appel confine à la témérité et est largement irrecevable; les frais seront donc mis intégralement à la charge de l'appelant (art. 106 al. 1 1ère phr. et 107 al. 1 let. c CPC).</w:t>
      </w:r>
    </w:p>
    <w:p>
      <w:r>
        <w:t>L'appelant sera donc condamné à verser 1'800 fr. à Me D______.</w:t>
      </w:r>
    </w:p>
    <w:p>
      <w:r>
        <w:rPr>
          <w:b/>
        </w:rPr>
        <w:t>E. 5.2</w:t>
      </w:r>
    </w:p>
    <w:p>
      <w:r>
        <w:t>Pour les mêmes motifs, l'appelant sera condamné à verser des dépens arrêtés à 1'800 fr. en faveur de l'intimée (art. 86, 88 et 90 RTFMC). * * * * * *</w:t>
      </w:r>
    </w:p>
    <w:p>
      <w:r>
        <w:t>- 21/22 -</w:t>
      </w:r>
    </w:p>
    <w:p>
      <w:r>
        <w:t>C/24193/2016 PAR CES MOTIFS, La Chambre civile : A la forme : Déclare recevable l'appel interjeté par A______ contre l'ordonnance OTPI/581/2017 rendue le 31 octobre 2017 par le Tribunal de première instance dans la cause C/24193/2016-20. Au fond : Le rejette. Confirme l'ordonnance entreprise. Déboute les parties de toutes autres conclusions. Sur les frais : Arrête les frais judiciaires d'appel à 2'800 fr., les met à la charge de A______ et les compense à due concurrence avec l'avance de frais de 1'000 fr. fournie par A______, qui demeure acquise à l'Etat. Condamne A______ à verser 1'800 fr. à Me D______ pour son activité durant la procédure d'appel. Condamne A______ à verser 1'800 fr. à E______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- 22/22 -</w:t>
      </w:r>
    </w:p>
    <w:p>
      <w:r>
        <w:t>C/24193/2016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