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ACJC/470/2019 vom 6. November 2018</w:t>
      </w:r>
    </w:p>
    <w:p>
      <w:r>
        <w:t>GE Cour de justice, 2018-11-06, FR</w:t>
      </w:r>
    </w:p>
    <w:p>
      <w:r>
        <w:rPr>
          <w:b/>
        </w:rPr>
        <w:t xml:space="preserve">Quelle: </w:t>
      </w:r>
      <w:r>
        <w:t>https://mcp.opencaselaw.ch/entscheid/ge_gerichte_ACJC_470_2019</w:t>
      </w:r>
    </w:p>
    <w:p>
      <w:r>
        <w:t>FR: GE_GERICHTE ACJC/470/2019 du 6 novembre 2018</w:t>
      </w:r>
    </w:p>
    <w:p>
      <w:r>
        <w:t>IT: GE_GERICHTE ACJC/470/2019 del 6 novembre 2018</w:t>
      </w:r>
    </w:p>
    <w:p>
      <w:pPr>
        <w:pStyle w:val="Heading2"/>
      </w:pPr>
      <w:r>
        <w:t>Erwägungen</w:t>
      </w:r>
    </w:p>
    <w:p>
      <w:r>
        <w:rPr>
          <w:b/>
        </w:rPr>
        <w:t>E. 1</w:t>
      </w:r>
    </w:p>
    <w:p>
      <w:r>
        <w:t>L'appel est recevable contre les décisions finales de première instance, si la valeur litigieuse au dernier état des conclusions de première instance est de 10'000 fr. au moins (art. 308 al. 1 let. a et al. 2 CPC).</w:t>
      </w:r>
    </w:p>
    <w:p>
      <w:r>
        <w:t>En l'espèce, les parties s'opposent sur la liquidation d'une société simple, dont l'apport principal consiste en un bail, dont le loyer annuel indexé a été fixé initialement à 114'504 fr., et dont les appelants sollicitent la résiliation, de sorte que la valeur litigieuse, examinée en fonction de l'intérêt économique que revêt la prétention invoquée par les appelants, est supérieure à 10'000 fr. (art. 91 al. 2 et 92 al. 2 CPC). La voie de l'appel est ouverte.</w:t>
      </w:r>
    </w:p>
    <w:p>
      <w:r>
        <w:t>L'appel a en outre été formé dans le délai et selon les formes légales (art. 257 al. 1 et 314 al. 1 CPC).</w:t>
      </w:r>
    </w:p>
    <w:p>
      <w:r>
        <w:rPr>
          <w:b/>
        </w:rPr>
        <w:t>E. 2</w:t>
      </w:r>
    </w:p>
    <w:p>
      <w:r>
        <w:t>Les appelants font grief au Tribunal d'avoir considéré que le cas n'était pas clair.</w:t>
      </w:r>
    </w:p>
    <w:p>
      <w:r>
        <w:t>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w:t>
      </w:r>
    </w:p>
    <w:p>
      <w:r>
        <w:t>- 6/9 -</w:t>
      </w:r>
    </w:p>
    <w:p>
      <w:r>
        <w:t>C/27929/2017</w:t>
      </w:r>
    </w:p>
    <w:p>
      <w:r>
        <w:t>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w:t>
      </w:r>
    </w:p>
    <w:p>
      <w:r>
        <w:t>2.1.2 Les colocataires forment entre eux une société simple (art. 530 ss CO). Le congé qu'ils entendent donner doit émaner de la totalité d'entre eux, sous peine de nullité (ATF 136 III 431).</w:t>
      </w:r>
    </w:p>
    <w:p>
      <w:r>
        <w:t>Si un colocataire veut se libérer du bail, il ne pourra le faire qu'avec l'accord des colocataires restants et du bailleur, qui conclura un nouveau contrat avec ces derniers. A défaut d'un tel accord, un colocataire ne peut pas seul se départir du contrat. Il est contraint de dénoncer le contrat de société simple le liant aux autres colocataires ou d'agir en résiliation de celui-ci pour justes motifs (art. 545 al. 1 ch. 6 et 7 CO). Le sort du bail commun sera réglé lors de la liquidation de la société simple (art. 550 CO), les parties ou, le cas échéant, le juge, pouvant soit libérer le colocataire sortant de ses obligations résultant du bail - sans effets à l'égard du bailleur - soit contraindre le locataire récalcitrant à résilier le bail. Toutefois, la dissolution de la société ne modifie pas les engagements que les colocataires ont contractés envers le bailleur (art. 551 CO), de sorte que ni le liquidateur, ni le juge ne pourra imposer au bailleur que l'objet loué soit attribué à l'un des colocataires seulement. Un jugement entré en force qui condamne le colocataire à résilier le bail vaut déclaration de volonté de résilier, compte-tenu de l'article 344 al. 1 CPC; le ou les autres locataires devant de leur côté donner congé - puisque celui-ci doit être commun -, en respectant les mêmes délai et termes (BOHNET/DIETSCHY-MARTENET, Commentaire pratique, Bâle 2017 n° 35 ad art. 253 CO).</w:t>
      </w:r>
    </w:p>
    <w:p>
      <w:r>
        <w:t>2.1.3 La loi règle la question de la dénonciation du contrat de société simple différemment, selon que les parties ont convenu d'une durée déterminée pour leur société ou non. Dans le premier cas, une résiliation avant terme n'est - en principe - pas possible; dans le second cas, le droit de provoquer la dissolution de la société est en tout temps réservé, moyennant le respect des modalités de l'art. 546 CO, lequel dispose que lorsqu'une société a été formée pour une durée indéterminée, chacune des parties peut en provoquer la dissolution, moyennant un avertissement donné six mois à l'avance (art. 546 al. 1 CO).</w:t>
      </w:r>
    </w:p>
    <w:p>
      <w:r>
        <w:t>Pour les sociétés à durée déterminée, les associés sont en principe engagés pour cette durée. Un droit de dénonciation avant terme n'existe que s'il a été expressément convenu dans le contrat de société ou une décision sociale postérieure. La situation est la même et implique également une disposition</w:t>
      </w:r>
    </w:p>
    <w:p>
      <w:r>
        <w:t>- 7/9 -</w:t>
      </w:r>
    </w:p>
    <w:p>
      <w:r>
        <w:t>C/27929/2017 spéciale introduisant un droit de dénonciation dans deux autres hypothèses: la société de durée indéterminée, où les parties prévoient une durée d'existence minimale: celles-ci sont, en effet, présumées avoir réglé de manière exhaustive la question de la fin de la société, ce qui exclut toute résiliation avant la fin de cette période; la société dont l'existence est intimement liée à la réalisation du but social, de sorte qu'une dénonciation anticipée n'est pas envisageable. Dans tous ces cas, il appartient aux parties d'aménager les conditions d'exercice du droit de dénonciation (respect des délais, de forme ou existence de motifs déterminés d'avance) (CHAIX, in CR-CO II, 2ème éd., 2017, n. 18 et 19 ad art. 545-547 CO).</w:t>
      </w:r>
    </w:p>
    <w:p>
      <w:r>
        <w:t>2.1.4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et les références citées; 4A_436/2012 du</w:t>
      </w:r>
    </w:p>
    <w:p>
      <w:r>
        <w:rPr>
          <w:b/>
        </w:rPr>
        <w:t>E. 2.2</w:t>
      </w:r>
    </w:p>
    <w:p>
      <w:r>
        <w:t>En l'espèce, le contrat de société simple conclu entre les parties était valable pour la durée du bail et de ses éventuels renouvellements, lequel a a été conclu pour une durée initiale de dix ans, renouvelable ensuite tacitement de cinq ans en cinq ans.</w:t>
      </w:r>
    </w:p>
    <w:p>
      <w:r>
        <w:t>Il apparaît ainsi que le contrat de société simple, tout comme celui de bail, a été conclu pour une durée minimale de dix ans, et était ensuite renouvelable. Les appelants soutiennent que malgré cette durée minimale, le contrat était clairement de durée indéterminée, ce qui permettrait sa résiliation par application de l'art. 546 al. 1 CO. Or, cette manière de voir les choses fait fi de la durée minimale du bail, sur lequel la convention était calquée. Comme l'a retenu à juste titre le Tribunal, il appartiendra en conséquence au juge du fond d'interpréter le contrat de société</w:t>
      </w:r>
    </w:p>
    <w:p>
      <w:r>
        <w:t>- 8/9 -</w:t>
      </w:r>
    </w:p>
    <w:p>
      <w:r>
        <w:t>C/27929/2017 simple, afin de déterminer si les parties avaient la volonté de prévoir une possibilité de dénonciation avant l'échéance de la durée minimale de dix ans, comme le font valoir les appelants. Ainsi, indépendamment du fait que la convention a été conclue pour une durée indéterminée, des questions doivent être résolues, s'agissant du droit de dénonciation anticipé des associés, qui nécessiteront l'exercice d'un certain pouvoir d'appréciation de la part du juge, de sorte que le cas n'est pas clair, au sens de l'art. 257 al. 1 CPC.</w:t>
      </w:r>
    </w:p>
    <w:p>
      <w:r>
        <w:t>Le jugement sera confirmé.</w:t>
      </w:r>
    </w:p>
    <w:p>
      <w:r>
        <w:rPr>
          <w:b/>
        </w:rPr>
        <w:t>E. 3</w:t>
      </w:r>
    </w:p>
    <w:p>
      <w:r>
        <w:t>Les appelants, qui succombent, seront condamnés, conjointement et solidaire- ment, aux frais de l'appel, arrêtés à 2'400 fr., compensés avec l'avance de frais du même montant, acquise à l'Etat (art. 106 al. 1 et 111 al. 1 CPC; art. 19 LaCC; 26 et 35 à 37 RTFMC).</w:t>
      </w:r>
    </w:p>
    <w:p>
      <w:r>
        <w:t>Ils seront en outre condamnés à verser à C______ la somme de 1'000 fr. à titre de dépens d'appel (art. 84, 85, 88 et 90 RTFMC; art. 23 LaCC).</w:t>
      </w:r>
    </w:p>
    <w:p>
      <w:r>
        <w:t>Aucun dépens ne sera alloué à D______ qui ne s'est pas déterminé sur l'appel. * * * * *</w:t>
      </w:r>
    </w:p>
    <w:p>
      <w:r>
        <w:t>- 9/9 -</w:t>
      </w:r>
    </w:p>
    <w:p>
      <w:r>
        <w:t>C/27929/2017 PAR CES MOTIFS, La Chambre civile : A la forme : Déclare recevable l'appel interjeté par A______ et B______ contre le jugement JTPI/17408/2018 rendu le 6 novembre 2018 par le Tribunal de première instance dans la cause C/27929/2017-9 SCC. Au fond : Le rejette. Confirme le jugement entrepris. Déboute les parties de toutes autres ou contraires conclusions. Sur les frais : Arrête les frais judiciaires d'appel à 2'400 fr., les met à la charge de A______ et B______, conjointement et solidairement, et dit qu'ils sont compensés avec l'avance fournie, acquise à l'Etat de Genève. Condamne A______ et B______, conjointement et solidairement, à verser la somme de 1'000 fr. à C______ à titre de dépens d'appel. Dit qu'il n'est pas alloué de dépens à D______. Siégeant : Madame Fabienne GEISINGER-MARIETHOZ, présidente; Madame Pauline ERARD et Monsieur Laurent RIEBEN,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