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ACJC/470/2014 vom 12. Juli 2013</w:t>
      </w:r>
    </w:p>
    <w:p>
      <w:r>
        <w:t>GE Cour de justice, 2013-07-12, FR</w:t>
      </w:r>
    </w:p>
    <w:p>
      <w:r>
        <w:rPr>
          <w:b/>
        </w:rPr>
        <w:t xml:space="preserve">Quelle: </w:t>
      </w:r>
      <w:r>
        <w:t>https://mcp.opencaselaw.ch/entscheid/ge_gerichte_ACJC_470_2014</w:t>
      </w:r>
    </w:p>
    <w:p>
      <w:r>
        <w:t>FR: GE_GERICHTE ACJC/470/2014 du 12 juillet 2013</w:t>
      </w:r>
    </w:p>
    <w:p>
      <w:r>
        <w:t>IT: GE_GERICHTE ACJC/470/2014 del 12 luglio 2013</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sur le paiement d'une contribution d'entretien dont la valeur litigieuse devant le premier juge, capitalisée selon l'art. 92 al. 2 CPC, était supérieure à 10'000 fr. (2'500 fr. x 12 x 20). La voie de l'appel est dès lors ouverte.</w:t>
      </w:r>
    </w:p>
    <w:p>
      <w:r>
        <w:rPr>
          <w:b/>
        </w:rPr>
        <w:t>E. 1.2</w:t>
      </w:r>
    </w:p>
    <w:p>
      <w:r>
        <w:t>Interjeté dans les délai et forme utiles (art. 130, 131, 142 al. 1, 145 al. 1 let. b, 311 al. 1 CPC), par une partie qui y a intérêt (art. 59 al. 2 let. a CPC), l'appel est recevable. Formé dans la réponse à l'appel, dans le délai imparti pour celle-ci (art. 312 al. 2, 313 al. 1 CPC), l'appel joint l'est également. Par souci de simplification, l'épouse sera désignée en qualité d'appelante et l'époux en qualité d'intimé.</w:t>
      </w:r>
    </w:p>
    <w:p>
      <w:r>
        <w:rPr>
          <w:b/>
        </w:rPr>
        <w:t>E. 1.3</w:t>
      </w:r>
    </w:p>
    <w:p>
      <w:r>
        <w:t>La Cour revoit la cause avec un plein pouvoir d’examen (art. 310 CPC). Dans la mesure des conclusions prises en appel (art. 315 al. 1 CPC), elle établit les faits d'office (art. 272 CPC).</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t>- 7/13 -</w:t>
      </w:r>
    </w:p>
    <w:p>
      <w:r>
        <w:t>C/903/2012</w:t>
      </w:r>
    </w:p>
    <w:p>
      <w:r>
        <w:rPr>
          <w:b/>
        </w:rPr>
        <w:t>E. 2.2</w:t>
      </w:r>
    </w:p>
    <w:p>
      <w:r>
        <w:t>En l'espèce, l'intimé produit devant la Cour une pièce nouvelle, soit une simulation de sa situation fiscale pour l'année 2013. L'appelant n'expose pas pour quelle raison il n'aurait pas été en mesure de produire une telle simulation devant le premier juge, qui a gardé la cause à juger le 31 mai 2013. Par conséquent, le contenu de cette pièce, ainsi que les allégués s'y rapportant, seront ignorés.</w:t>
      </w:r>
    </w:p>
    <w:p>
      <w:r>
        <w:rPr>
          <w:b/>
        </w:rPr>
        <w:t>E. 3.1</w:t>
      </w:r>
    </w:p>
    <w:p>
      <w:r>
        <w:t>Les parties contestent la quotité et la durée de la contribution d'entretien post- divorce allouée à l'appelante par le premier juge. Dans son appel joint, l'intimé en conteste en outre le principe. Il reproche notamment au premier juge de ne pas avoir imputé à l'appelante un revenu hypothétique lui permettant de subvenir à son entretien, alors même qu'il était établi que celle-ci disposait d'une capacité de travail et qu'elle n'avait pas fait tous les efforts que l'on pouvait attendre d'elle pour reprendre une activité lucrative. L'appelante reproche pour sa part au premier juge d'avoir limité la durée de l'obligation d'entretien alors que son état de santé ne lui permettait pas de reprendre une quelconque activité lucrative. Elle conteste également le montant des frais de transport imputés à l'intimé.</w:t>
      </w:r>
    </w:p>
    <w:p>
      <w:r>
        <w:rPr>
          <w:b/>
        </w:rPr>
        <w:t>E. 3.1.1</w:t>
      </w:r>
    </w:p>
    <w:p>
      <w:r>
        <w:t>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ATF 137 III 102 consid. 4.1.2). Si le mariage a duré au moins dix ans - période à calculer jusqu'à la date de la séparation des parties (ATF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w:t>
      </w:r>
    </w:p>
    <w:p>
      <w:r>
        <w:t>- 8/13 -</w:t>
      </w:r>
    </w:p>
    <w:p>
      <w:r>
        <w:t>C/903/2012 son entretien convenable et si son conjoint dispose d'une capacité contributive (ATF 137 III 102 consid. 4.1.2; 134 III 145 consid. 4).</w:t>
      </w:r>
    </w:p>
    <w:p>
      <w:r>
        <w:rPr>
          <w:b/>
        </w:rPr>
        <w:t>E. 3.1.2</w:t>
      </w:r>
    </w:p>
    <w:p>
      <w:r>
        <w:t>Si le principe d'une contribution d'entretien post-divorce est admis, il convient de procéder en trois étapes pour en arrêter la quotité (ATF 137 III 102 consid. 4.2 et les références citées).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132 III 593 consid. 3.2).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en majorant de 20% le poste destiné à l'entretien courant (arrêts du Tribunal fédéral 5A_56/2011 du 25 août 2011 consid. 3.4.1; 5C.107/2005 du 14 avril 2006 consid. 4.2.1).</w:t>
      </w:r>
    </w:p>
    <w:p>
      <w:r>
        <w:rPr>
          <w:b/>
        </w:rPr>
        <w:t>E. 3.2</w:t>
      </w:r>
    </w:p>
    <w:p>
      <w:r>
        <w:t>En l'espèce, le mariage a duré plus de 22 ans et les parties ont eu une fille, aujourd'hui majeure. Le Tribunal a correctement retenu que le mariage avait concrètement influencé la situation de l'appelante, qui a cessé d'exercer une activité lucrative à l'époque du mariage et n'a repris de telles activités que plusieurs années après, de manière irrégulière. Sur le principe, l'octroi d'une contribution d'entretien est dès lors justifié.</w:t>
      </w:r>
    </w:p>
    <w:p>
      <w:r>
        <w:t>- 9/13 -</w:t>
      </w:r>
    </w:p>
    <w:p>
      <w:r>
        <w:t>C/903/2012</w:t>
      </w:r>
    </w:p>
    <w:p>
      <w:r>
        <w:rPr>
          <w:b/>
        </w:rPr>
        <w:t>E. 3.2.1</w:t>
      </w:r>
    </w:p>
    <w:p>
      <w:r>
        <w:t>En ce qui concerne le niveau d'entretien auquel les parties peuvent prétendre, la Cour constate que le train de vie des époux durant le mariage était nécessairement modeste, puisque fondé pour l'essentiel sur les revenus du seul intimé, qui ne s'élèvent aujourd'hui encore qu'à 5'670 fr. net par mois. Les parties s'accordent d'ailleurs à considérer que les seuls revenus en question ne leur permettent pas de maintenir un standard de vie identique, compte tenu de la création de deux ménages séparés. Il faut en déduire que l'entretien convenable auquel peut prétendre l'époux crédirentier, soit en l'occurrence l'appelante, ne saurait excéder son entretien de base, augmenté de ses charges incompressibles (minimum vital élargi). En l'espèce, cet entretien a été correctement estimé par le premier juge à 3'335 fr. par mois (1'812 fr. de loyer, 323 fr. de primes d'assurance maladie et 1'200 fr. d'entretien de base, conformément aux normes d'insaisissabilité en vigueur).</w:t>
      </w:r>
    </w:p>
    <w:p>
      <w:r>
        <w:rPr>
          <w:b/>
        </w:rPr>
        <w:t>E. 3.2.2</w:t>
      </w:r>
    </w:p>
    <w:p>
      <w:r>
        <w:t>Plus délicate est la question de savoir dans quelle mesure l'appelante peut elle-même pourvoir à son entretien tel que défini ci-dessus. A teneur de la procédure, il apparaît que celle-ci ne dispose pas d'une formation sanctionnée par un quelconque diplôme. Les revenus qu'elle a pu tirer des diverses activités qu'elle a exercées durant le mariage, notamment en tant que patrouilleuse scolaire, ne sont pas allégués ni établis. A cela s'ajoute le fait que l'appelante, qui était âgée de 48 ans au moment du divorce, a connu depuis 2011 des troubles de santé, dont certains perdurent encore aujourd'hui. Contrairement à ce que celle-ci soutient, il n'y a toutefois pas lieu d'admettre que l'appelante ne disposerait plus d'aucune capacité de travail; selon le dernier certificat médical qu'elle a elle-même versé à la procédure, l'appelante demeure potentiellement capable de travailler à 100% pour autant qu'elle puisse avoir une activité compatible avec son état de santé. Comme l'a relevé le premier juge, il convient également de tenir compte du fait que l'appelante, qui était âgée de 44 ans au moment de la séparation des parties et ne présentait alors pas de trouble de la santé, notamment au niveau des épaules, n'a pas su profiter de cette situation pour se réinsérer professionnellement, étant précisé que la fille des époux était alors proche de la majorité (17 ans) et ne nécessitait plus de la part de l'appelante un niveau de soins et d'encadrement quotidien incompatible avec une telle réinsertion. Ainsi, si l'on ne peut raisonnablement considérer que l'appelante peut aujourd'hui reprendre immédiatement une activité professionnelle, il faut néanmoins admettre qu'elle devrait être en mesure, dans un délai de trois ans suivant le prononcé du divorce, soit de trouver une activité non qualifiée qui soit compatible avec son état de santé, par exemple dans le domaine de l'horlogerie où elle bénéficie d'une certaine expérience, soit de suivre une formation lui permettant de retrouver une telle activité, soit encore d'obtenir de l'assurance-invalidité une décision constatant son incapacité à reprendre une activité lucrative et lui allouant une rente. Dans tous les cas, l'obligation de l'intimé de contribuer autant que possible à l'entretien</w:t>
      </w:r>
    </w:p>
    <w:p>
      <w:r>
        <w:t>- 10/13 -</w:t>
      </w:r>
    </w:p>
    <w:p>
      <w:r>
        <w:t>C/903/2012 convenable de l'appelante doit ainsi être limitée à une durée de trois ans, comme l'a retenu le premier juge. Cependant, il n'existe aucune garantie que les revenus que l'appelante est susceptible de tirer d'une activité adaptée à son état de santé suffiraient à pourvoir à son entretien convenable, tel que défini ci-dessus. Il en va de même d'une éventuelle rente d'invalidité, dont le montant dépend de plusieurs paramètres, tels que le taux d'invalidité retenu. Dans les deux cas, il faut admettre que de tels revenus ne pourraient couvrir qu'un peu plus des deux tiers de cet entretien, soit environ 2'340 fr. par mois (montant maximal d'une rente AI). Ainsi, la Cour considère qu'au-delà de la période de trois ans susvisée, une contribution d'entretien réduite, visant à combler le solde non couvert par les revenus susvisés et fondée sur le principe de la solidarité, reste également due à l'appelante. Il convient d'examiner dans quelle mesure de telles contributions peuvent être mises à la charge de l'intimé.</w:t>
      </w:r>
    </w:p>
    <w:p>
      <w:r>
        <w:rPr>
          <w:b/>
        </w:rPr>
        <w:t>E. 3.2.3</w:t>
      </w:r>
    </w:p>
    <w:p>
      <w:r>
        <w:t>En l'occurrence, les revenus de l'intimé s'élèvent à 5'670 fr. net par mois. Ses charges incompressibles non contestées comprennent son entretien courant (augmenté de 20% à 1'440 fr. par mois), le loyer du studio dans lequel il loge (670 fr. par mois) et ses primes d'assurance-maladie (297 fr. par mois). L'appelante reproche au premier juge d'avoir arrêté les frais de transport de l'intimé à 1'000 fr. par mois. Elle ne conteste cependant pas que le lieu de travail de l'intimé soit situé à Renens (VD) alors que son domicile est à Vernier (GE), ni que l'intimé soit contraint de s'y rendre au moyen d'un véhicule automobile en raison du caractère particulièrement matinal de ses horaires de travail. Comme le relève l'intimé, en retenant un coût d'utilisation du véhicule comparable à celui appliqué par les autorités fiscales (0.70 fr./km), on parvient à un coût mensuel supérieur à celui retenu par le premier juge (1'582 fr. par mois selon l'intimé); on ignore cependant si une partie de ce coût est prise en charge par son employeur. En l'état, si l'on exigeait de l'intimé qu'il déménage dans un logement plus proche de son lieu de travail, la différence de coût entre un tel logement et son logement actuel absorberait vraisemblablement la majeure partie des économies qu'il pourrait réaliser sur ses frais de transport. Il convient également d'observer que l'appelante occupe aujourd'hui l'ancien domicile conjugal, dont la taille et le loyer paraissent excessifs au vu de ses besoins et de son absence de ressources financières, sans que cela ne soit critiqué par l'intimé. Dans ces conditions, les frais de transport de l'appelant peuvent raisonnablement être arrêtés à 1'000 fr. par mois, comme l'a retenu le premier juge. Il faut enfin ajouter aux charges de l'intimé le montant de ses impôts, arrêtés par le premier juge à 175 fr. par mois conformément au bordereau de taxation des époux pour l'année 2010. Comme relevé ci-dessus, la simulation fiscale produite par l'intimé et ses allégués s'y rapportant, selon lesquels sa charge fiscale serait plus importante en cas condamnation à payer la contribution d'entretien fixée par le</w:t>
      </w:r>
    </w:p>
    <w:p>
      <w:r>
        <w:t>- 11/13 -</w:t>
      </w:r>
    </w:p>
    <w:p>
      <w:r>
        <w:t>C/903/2012 premier juge, sont irrecevables. Il est au demeurant hautement invraisemblable que la condamnation de l'intimé à contribuer à l'entretien de l'appelante, dans des montants plus élevés que ce que celui-ci propose, puisse entraîner une augmentation de sa charge fiscale; au contraire, la contribution d'entretien étant déductible de ses revenus, la charge fiscale de l'intimé devrait diminuer. Ainsi, le minimum vital élargi de l'intimé peut être estimé à 3'582 fr. par mois (670 fr. + 297 fr. + 1'000 fr. + 175 fr. + 1'440 fr.), ce qui lui laisse un disponible de 2'088 fr. par mois (5'670 fr. – 3'582 fr.).</w:t>
      </w:r>
    </w:p>
    <w:p>
      <w:r>
        <w:rPr>
          <w:b/>
        </w:rPr>
        <w:t>E. 3.3</w:t>
      </w:r>
    </w:p>
    <w:p>
      <w:r>
        <w:t>Au vu de ces chiffres, l'intimé sera condamné à contribuer à l'entretien de l'appelante à hauteur de 2'000 fr. par mois pour une durée de trois ans suivant l'entrée en force du divorce, soit jusqu'au 31 août 2016. Il sera ensuite condamné lui verser une contribution correspondant au solde des besoins non couvert par les revenus que celle-ci pourrait réaliser, tels que définis sous considérant 3.2.2 ci- dessus, soit un montant de 1'000 fr. par mois (3'335 fr. – 2'340 fr. = 995 fr.). La durée de cette contribution sera limitée à la date à laquelle l'intimé atteindra l'âge légal de la retraite, soit jusqu'au mois d'avril 2028 compris, dès lors que la situation de l'intimé après cette date n'est aujourd'hui pas connue avec précision et que ses revenus devraient en toute hypothèse diminuer. Du point de vue de l'appelante, qui atteindra l'âge légal de la retraite à une date proche (février 2029), les inconvénients découlant du mariage en matière de prévoyance sont par ailleurs compensés par le partage des avoirs de prévoyance de l'intimé ordonné par le premier juge, qui n'est pas remis en cause en appel. Le chiffre 5 du dispositif du jugement entrepris sera annulé et il sera statué à nouveau en ce sens.</w:t>
      </w:r>
    </w:p>
    <w:p>
      <w:r>
        <w:rPr>
          <w:b/>
        </w:rPr>
        <w:t>E. 4</w:t>
      </w:r>
    </w:p>
    <w:p>
      <w:r>
        <w:t>Les frais judiciaires de l'appel et de l'appel joint, arrêtés au total à 2'500 fr. (art. 30 al. 1 et 35 RTFMC), seront mis à la charge des parties pour moitié chacune, compte tenu de la nature familiale du litige (art. 95 et 107 al. 1 let. c CPC). Pour les mêmes motifs, les parties conserveront à leur charge leur propres dépens (art. 107 al. 1 let. c CPC). Les deux parties plaidant au bénéfice de l'assistance juridique, les frais judiciaires dont elles sont débitrices seront provisoirement supportés par l'Etat (art. 122 al. 1 let. b et al. 2, 123 al. 1 CPC et art. 19 RAJ).</w:t>
      </w:r>
    </w:p>
    <w:p>
      <w:r>
        <w:rPr>
          <w:b/>
        </w:rPr>
        <w:t>E. 5</w:t>
      </w:r>
    </w:p>
    <w:p>
      <w:r>
        <w:t>Le présent arrêt est susceptible d'un recours en matière civile au Tribunal fédéral (art. 72 al. 1 LTF), la valeur litigieuse étant supérieure à 30'000 fr. au sens de l'art. 74 al. 1 let. b LTF (cf. art. 51 al. 4 LTF et consid. 1.1 ci-dessus). * * * * *</w:t>
      </w:r>
    </w:p>
    <w:p>
      <w:r>
        <w:t>- 12/13 -</w:t>
      </w:r>
    </w:p>
    <w:p>
      <w:r>
        <w:t>C/903/2012 PAR CES MOTIFS, La Chambre civile : A la forme : Déclare recevables l'appel principal interjeté par A______ et l'appel joint interjeté par B______ contre le ch. 5 du dispositif du jugement JTPI/9719/2013 rendu le 12 juillet 2013 par le Tribunal de première instance dans la cause C/903/2012-1. Au fond : Annule le chiffre 5 du dispositif de ce jugement et, statuant à nouveau : Condamne B______ à payer à A______, à titre de contribution post-divorce à son entretien, par mois et d'avance, la somme de 2'000 fr. par mois du 1er septembre 2013 au 31 août 2016, puis de 1'000 fr. par mois du 1er septembre 2016 au 30 avril 2028. Déboute les parties de toutes autres conclusions. Sur les frais : Arrête les frais judiciaires d'appel et d'appel joint à 2'500 fr. au total et les met pour moitié à la charge de B______ et pour moitié à la charge de A______. Dit que les frais judiciaires mis à la charge des parties sont provisoirement supportés par l'Etat. Dit que chaque partie supporte ses propres dépens. Siégeant : Madame Florence KRAUSKOPF, présidente; Madame Sylvie DROIN et Madame Alix FRANCOTTE CONUS, juges; Madame Nathalie DESCHAMPS, greffière.</w:t>
      </w:r>
    </w:p>
    <w:p>
      <w:r>
        <w:t>La présidente : Florence KRAUSKOPF</w:t>
      </w:r>
    </w:p>
    <w:p>
      <w:r>
        <w:t>La greffière : Nathalie DESCHAMPS</w:t>
      </w:r>
    </w:p>
    <w:p>
      <w:r>
        <w:t>- 13/13 -</w:t>
      </w:r>
    </w:p>
    <w:p>
      <w:r>
        <w:t>C/903/2012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