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ACJC/469/2015 vom 7. November 2014</w:t>
      </w:r>
    </w:p>
    <w:p>
      <w:r>
        <w:t>GE Cour de justice, 2014-11-07, FR</w:t>
      </w:r>
    </w:p>
    <w:p>
      <w:r>
        <w:rPr>
          <w:b/>
        </w:rPr>
        <w:t xml:space="preserve">Quelle: </w:t>
      </w:r>
      <w:r>
        <w:t>https://mcp.opencaselaw.ch/entscheid/ge_gerichte_ACJC_469_2015</w:t>
      </w:r>
    </w:p>
    <w:p>
      <w:r>
        <w:t>FR: GE_GERICHTE ACJC/469/2015 du 7 novembre 2014</w:t>
      </w:r>
    </w:p>
    <w:p>
      <w:r>
        <w:t>IT: GE_GERICHTE ACJC/469/2015 del 7 novembre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l'espèce, le loyer annuel du logement, charges comprises, s'élève à 24'000 fr. La valeur litigieuse est ainsi largement supérieure à 10'000 fr.</w:t>
      </w:r>
    </w:p>
    <w:p>
      <w:r>
        <w:t>- 6/9 -</w:t>
      </w:r>
    </w:p>
    <w:p>
      <w:r>
        <w:t>C/21525/2012</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 Par conséquent, les faits pertinents que l'appelante reproche au Tribunal d'avoir arbitrairement omis ont été directement intégrés dans l'état de fait dressé ci- dessus.</w:t>
      </w:r>
    </w:p>
    <w:p>
      <w:r>
        <w:rPr>
          <w:b/>
        </w:rPr>
        <w:t>E. 2</w:t>
      </w:r>
    </w:p>
    <w:p>
      <w:r>
        <w:t>L'appelante reproche au Tribunal d'avoir retenu que les parties n'avaient pas violé leur devoir de diligence, et par conséquent que le congé était inefficace.</w:t>
      </w:r>
    </w:p>
    <w:p>
      <w:r>
        <w:rPr>
          <w:b/>
        </w:rPr>
        <w:t>E. 2.1</w:t>
      </w:r>
    </w:p>
    <w:p>
      <w:r>
        <w:t>L'art. 257f al. 3 CO permet au bailleur de résilier les baux d'habitation et de lo- caux commerciaux, moyennant un délai de congé de trente jours pour la fin d'un mois, lorsque le maintien du contrat est devenu insupportable pour le bailleur ou les personnes habitant la maison parce que le locataire, nonobstant une protesta- tion écrite du bailleur, a persisté à enfreindre son devoir de diligence ou à man- quer d'égards envers les voisins. La résiliation prévue par cette disposition suppose ainsi la réalisation des cinq conditions cumulatives suivantes : (1) une violation du devoir de diligence incom- bant au locataire, (2) un avertissement écrit préalable du bailleur, (3) la persis- tance du locataire à ne pas respecter son devoir en relation avec le manquement évoqué par le bailleur dans sa protestation, (4) le caractère insupportable du main- tien du contrat pour le bailleur et, enfin, (5) le respect d'un préavis de trente jours pour la fin d'un mois (arrêt du Tribunal fédéral 4A_457/2013 du 4 février 2014 consid. 2 et les arrêts cités). La résiliation, en application de l'art. 257f CO, exige que les perturbations se poursuivent malgré la mise en demeure et qu'elles atteignent un degré de gravité qui rend insupportable la continuation du contrat (arrêts du Tribunal fédéral 4A_722/2012 du 1er mai 2013 consid. 2.2, 4C.331/2004 du 17 mars 2005 consid. 1.1.4). Le congé qui ne remplit pas ces conditions est un congé inefficace (arrêts du Tribunal fédéral 4A_485/2014 du 3 février 2015, 4A_457/2013 consid. 2, 4A_87/2012 consid. 4.1, 4C.273/2005 du 22 novembre 2005 consid. 2.1).</w:t>
      </w:r>
    </w:p>
    <w:p>
      <w:r>
        <w:rPr>
          <w:b/>
        </w:rPr>
        <w:t>E. 2.2</w:t>
      </w:r>
    </w:p>
    <w:p>
      <w:r>
        <w:t>Selon l'art. 257h al. 2 CO, le locataire doit autoriser le bailleur à inspecter la chose dans la mesure où cet examen est nécessaire à l'entretien, à la vente ou à une location ultérieure. Le bailleur doit annoncer à temps au locataire les travaux et les inspections et tenir compte, lors de leur accomplissement, des intérêts de celui-ci (art. 257h al. 3 CO).</w:t>
      </w:r>
    </w:p>
    <w:p>
      <w:r>
        <w:t>- 7/9 -</w:t>
      </w:r>
    </w:p>
    <w:p>
      <w:r>
        <w:t>C/21525/2012 Pour que le bailleur puisse inspecter l'objet en vue d'une location ultérieure ou d'une vente d'immeuble, il doit avoir déjà résilié le bail du locataire; en cas de bail de durée déterminée, le bailleur peut visiter la chose peu avant l'échéance de la durée déterminée (Commentaire SVIT, Le droit suisse du bail à loyer, 2011, ad art. 257h n. 20 CO avec référence au Message du Conseil fédéral FF 1985 I p. 1412). Le locataire doit tolérer les visites si elles sont nécessaires à la vente de la chose louée (lorsque le bailleur a entrepris des démarches concrètes en vue d'aliéner son bien; LACHAT, CR-CO, 2012, ad art. 257h n. 4 CO).</w:t>
      </w:r>
    </w:p>
    <w:p>
      <w:r>
        <w:rPr>
          <w:b/>
        </w:rPr>
        <w:t>E. 2.3</w:t>
      </w:r>
    </w:p>
    <w:p>
      <w:r>
        <w:t>En l'espèce, le motif donné à la résiliation du bail est l'absence de réaction des locataires à la requête de visite de leur appartement. Par quatre courriers successifs, adressés aux intimés entre mars et le 5 juin 2012, dont trois n'ont suscité aucune réaction des précités, l'appelante a requis que ceux- ci la contactent en vue d'une visite, dont elle ne spécifiait pas la raison, se bornant à se référer au texte de l'art. 257h CO. Après que les locataires lui avaient indiqué, par lettre du 15 juin 2012, qu'ils étaient à disposition pour des visites, tout en fai- sant part de leur contrariété de ne pas avoir été informés d'un projet de vente, l'ap- pelante a précisé qu'il s'agissait, en l'état, d'une visite à des fins d'expertise, aucune commercialisation n'étant alors entreprise, et a requis à nouveau une prise de con- tact. Le 20 août 2012, sans nouvelles des intimés, elle a à nouveau requis une prise de contact pour une visite, sans autre précision, avec référence au texte de l'art. 257h CO et menace de résiliation du bail. Les intimés n'ont été ainsi informés que de l'existence d'une éventuelle intention de vente de leur propriétaire, dont il leur était précisé qu'elle ne se concrétisait, à ce stade, que par le souhait de faire expertiser l'objet, lequel n'était pas "commer- cialisé". Il n'apparaît pas qu'une communication leur aurait été faite sur l'existence d'un client très intéressé à acheter l'objet, qui se serait retiré de la vente faute d'avoir pu le visiter, dont le cas a été cité par le témoin E______. Celui-ci a encore déclaré qu'une estimation avait déjà été opérée lors de la vente à l'appelante, qui avait eu lieu quelques temps auparavant. Au vu de ces éléments, il apparaît qu'une nouvelle expertise n'était pas objective- ment indispensable et que les intimés n'étaient pas en mesure de comprendre qu'il y avait un projet de vente concret en été 2012. Par conséquent, il ne peut être retenu qu'un examen de la chose louée était nécessaire et que les locataires étaient tenus de le tolérer. Il s'ensuit que ceux-ci, bien que particulièrement peu réactifs, n'ont pas commis de violation de leur devoir de diligence.</w:t>
      </w:r>
    </w:p>
    <w:p>
      <w:r>
        <w:t>- 8/9 -</w:t>
      </w:r>
    </w:p>
    <w:p>
      <w:r>
        <w:t>C/21525/2012 Au surplus, même si l'on devait considérer qu'une telle violation avait eu lieu, elle n'aurait pas été, comme l'a retenu à raison le Tribunal, d'une gravité telle que la poursuite du bail aurait été insupportable. A tout le moins une voire deux des conditions cumulatives de l'art. 257f al. 3 CO n'étaient ainsi pas réalisées, de sorte que le congé était inefficace. Le jugement entrepris, qui a statué dans ce sens, sera dès lors confirmé.</w:t>
      </w:r>
    </w:p>
    <w:p>
      <w:r>
        <w:rPr>
          <w:b/>
        </w:rPr>
        <w:t>E. 3</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- 9/9 -</w:t>
      </w:r>
    </w:p>
    <w:p>
      <w:r>
        <w:t>C/21525/2012 PAR CES MOTIFS, La Chambre des baux et loyers : A la forme : Déclare recevable l'appel interjeté le 11 décembre 2014 par A______ contre le jugement JTBL/1268/2014 rendu le 7 novembre 2014 par le Tribunal des baux et loyers dans la cause C/21525/2012-6. Au fond : Confirme ce jugement. Dit que la procédure est gratuite. Déboute les parties de toutes autres conclusions. Siégeant : Madame Pauline ERARD, présidente; Madame Sylvie DROIN et Monsieur Ivo BUETTI, juges; Madame Laurence CRUCHON et Monsieur Serge PATEK,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