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ACJC/467/2008 vom 20. April 2009</w:t>
      </w:r>
    </w:p>
    <w:p>
      <w:r>
        <w:t>GE Cour de justice, 2009-04-20, FR</w:t>
      </w:r>
    </w:p>
    <w:p>
      <w:r>
        <w:rPr>
          <w:b/>
        </w:rPr>
        <w:t xml:space="preserve">Quelle: </w:t>
      </w:r>
      <w:r>
        <w:t>https://mcp.opencaselaw.ch/entscheid/ge_gerichte_ACJC_467_2008</w:t>
      </w:r>
    </w:p>
    <w:p>
      <w:r>
        <w:t>FR: GE_GERICHTE ACJC/467/2008 du 20 avril 2009</w:t>
      </w:r>
    </w:p>
    <w:p>
      <w:r>
        <w:t>IT: GE_GERICHTE ACJC/467/2008 del 20 aprile 2009</w:t>
      </w:r>
    </w:p>
    <w:p>
      <w:pPr>
        <w:pStyle w:val="Heading2"/>
      </w:pPr>
      <w:r>
        <w:t>Regeste</w:t>
      </w:r>
    </w:p>
    <w:p>
      <w:r>
        <w:t>Résumé: ÉVACUATION POUR DÉFAUT DE PAIEMENT - DÉFAUT En cas de défaut de l'une des parties lors d'une procédure en évacuation pour défaut de paiement de loyer, il incombe au Tribunal d'examiner le fond de la cause en application de l'art. 274d al. 3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