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ACJC/466/2014 vom 11. April 2014</w:t>
      </w:r>
    </w:p>
    <w:p>
      <w:r>
        <w:t>GE Cour de justice, 2014-04-11, FR</w:t>
      </w:r>
    </w:p>
    <w:p>
      <w:r>
        <w:rPr>
          <w:b/>
        </w:rPr>
        <w:t xml:space="preserve">Quelle: </w:t>
      </w:r>
      <w:r>
        <w:t>https://mcp.opencaselaw.ch/entscheid/ge_gerichte_ACJC_466_2014</w:t>
      </w:r>
    </w:p>
    <w:p>
      <w:r>
        <w:t>FR: GE_GERICHTE ACJC/466/2014 du 11 avril 2014</w:t>
      </w:r>
    </w:p>
    <w:p>
      <w:r>
        <w:t>IT: GE_GERICHTE ACJC/466/2014 del 11 aprile 2014</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w:t>
      </w:r>
    </w:p>
    <w:p>
      <w:r>
        <w:t>- 4/7 -</w:t>
      </w:r>
    </w:p>
    <w:p>
      <w:r>
        <w:t>C/21909/2013 dans le délai de dix jours à compter de la notification de la décision motivée (cf. aussi art. 174 al. 1, 1ère phrase, LP). En l'occurrence, le recours a été déposé dans le délai et selon la forme prescrits par la loi, de sorte qu'il est formellement recevable.</w:t>
      </w:r>
    </w:p>
    <w:p>
      <w:r>
        <w:rPr>
          <w:b/>
        </w:rPr>
        <w:t>E. 2.1</w:t>
      </w:r>
    </w:p>
    <w:p>
      <w:r>
        <w:t>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avec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 nova"), pour autant qu'ils servent à établir que les conditions de l'art. 174 al. 2 LP sont remplies (COMETTA, op. cit., n. 6 ad art. 174 LP).</w:t>
      </w:r>
    </w:p>
    <w:p>
      <w:r>
        <w:rPr>
          <w:b/>
        </w:rPr>
        <w:t>E. 2.2</w:t>
      </w:r>
    </w:p>
    <w:p>
      <w:r>
        <w:t>En l'espèce, les pièces nouvelles produites par la recourante concernent tant les faits survenus avant le prononcé de la faillite par le Tribunal de première instance, mais que le premier juge n'a pas connus, que des faits nouveaux. Leur dépôt a par ailleurs été ordonné par la Cour, de sorte qu'elles sont recevables.</w:t>
      </w:r>
    </w:p>
    <w:p>
      <w:r>
        <w:rPr>
          <w:b/>
        </w:rPr>
        <w:t>E. 3.1</w:t>
      </w:r>
    </w:p>
    <w:p>
      <w:r>
        <w:t>A teneur de l'art. 133 CPC, la citation indique notamment le nom et l'adresse de la personne citée à comparaître (art. 133 let. a CPC). La citation doit être adressée au lieu de domicile de la personne physique devant être citée, à défaut à son lieu de résidence (art. 11 CPC). Si la personne concernée indique une autre adresse au Tribunal, c'est à cette adresse que les actes lui seront notifiés, indépendamment de son domicile légal. Si une personne change de domicile ou d'adresse de notification en cours de procédure, il lui revient d'informer le tribunal ; à défaut, celui-ci peut continuer d'adresser le pli à la même adresse (BOHNET, in CPC, Code de procédure civile commenté, BOHNET/ HALDY/JEANDIN/SCHWEIZER/TAPPY, [éd.], 2011, n. 9 ad art. 133 CPC). Les dispositions relatives à la citation sont complétées par celles relatives à la notification judiciaire (art. 136 et ss CPC). L'art. 138 al. 2 CPC prévoit que l'acte peut être valablement notifié par sa remise à un employé du destinataire ou à une personne d'au moins 16 ans faisant ménage avec lui. Selon l'art. 138 al. 3 let. a CPC, l'acte est réputé notifié, qu'il s'agisse d'une citation ou d'une décision, en cas d'envoi recommandé, lorsque celui-ci n'a pas été retiré à l'expiration d'un délai de sept jours à compter de l'échec de la remise, si le destinataire devait s'attendre à recevoir la notification. Cette disposition est la</w:t>
      </w:r>
    </w:p>
    <w:p>
      <w:r>
        <w:t>- 5/7 -</w:t>
      </w:r>
    </w:p>
    <w:p>
      <w:r>
        <w:t>C/21909/2013 codification de la jurisprudence du Tribunal fédéral relative à la fiction de notification (BOHNET/BRÜGGER, La notification en procédure civile suisse, RDS 2010 I p. 291 ss, p. 315-316).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w:t>
      </w:r>
    </w:p>
    <w:p>
      <w:r>
        <w:rPr>
          <w:b/>
        </w:rPr>
        <w:t>E. 3.2</w:t>
      </w:r>
    </w:p>
    <w:p>
      <w:r>
        <w:t>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arrêt du Tribunal fédéral 5A_466/2012 du 4 septembre 2012 consid. 4.1.2).). Selon la jurisprudence, la nullité d'un jugement doit être relevée d'office, en tout temps et par toutes les autorités chargées d'appliquer le droit. C'est en particulier le cas quand la personne concernée par une décision, à défaut d'avoir été citée, ignore tout de la procédure ouverte à son encontre et, partant, n'a pas eu l'occasion d'y prendre part (ATF 129 I 361 consid. 2.1; 122 I 97 c. 3a/aa).</w:t>
      </w:r>
    </w:p>
    <w:p>
      <w:r>
        <w:rPr>
          <w:b/>
        </w:rPr>
        <w:t>E. 3.3</w:t>
      </w:r>
    </w:p>
    <w:p>
      <w:r>
        <w:t>Dans le cas présent, la citation à l'audience du 5 décembre 2013 a été adressée à la recourante par pli recommandé du 1er novembre 2013, non réclamé par celle-</w:t>
      </w:r>
    </w:p>
    <w:p>
      <w:r>
        <w:t>- 6/7 -</w:t>
      </w:r>
    </w:p>
    <w:p>
      <w:r>
        <w:t>C/21909/2013 ci dans le délai de garde et retourné au Tribunal, et lui a été réexpédiée par pli simple du 12 novembre 2013. Conformément à la jurisprudence rappelée ci-avant, la recourante ne devait pas s'attendre à recevoir une notification du Tribunal, en dépit de la commination de faillite qui lui a été adressée par les autorités de poursuite. La fiction de notification ne s'applique donc pas, faute de rapport procédural préexistant. Il n'est pour le surplus pas établi que la recourante a reçu le pli simple qui lui a été adressé postérieurement. Il y a dès lors lieu de considérer que la recourante n'a pas valablement été avisée de la tenue de l'audience et partant son droit d'être entendue a été violé. N'examinant pas le fond de la cause en tant que tel avec plein pouvoir de cognition, mais seulement le jugement entrepris, la Cour n'est pas habilitée à remédier à ces violations. L'atteinte consacrée par le défaut de citation valablement notifiée est d'une gravité telle qu'elle ne peut pas être réparée devant l'instance de recours. La décision de faillite doit donc être annulée et la cause renvoyée au premier juge pour qu'il convoque une audience de faillite prévue par l'art. 168 LP.</w:t>
      </w:r>
    </w:p>
    <w:p>
      <w:r>
        <w:rPr>
          <w:b/>
        </w:rPr>
        <w:t>E. 4</w:t>
      </w:r>
    </w:p>
    <w:p>
      <w:r>
        <w:t>Selon l'art. 104 al. 1 CPC, le Tribunal statue sur les frais en règle générale dans la décision finale. Compte tenu du renvoi de la cause au Tribunal, le sort des frais de première instance sera réglé avec le jugement final (art. 104 al. 1 et art. 318 al.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150 fr., l'émolument de décision d'appel sera fixé à 220 fr. Compte tenu de l'issue du recours et l'intimée ne s'étant pas opposée au recours, il se justifie de mettre les frais à la charge du canton. L'avance de frais versée par la recourante lui sera en conséquence restituée. Il ne sera pour le surplus pas alloué de dépens (art. 105 al. 1 et 2 CPC).</w:t>
      </w:r>
    </w:p>
    <w:p>
      <w:r>
        <w:rPr>
          <w:b/>
        </w:rPr>
        <w:t>E. 5</w:t>
      </w:r>
    </w:p>
    <w:p>
      <w:r>
        <w:t>La présente décision s'inscrit dans une procédure de faillite sujette au recours de droit civil au Tribunal fédéral (art. 72 al. 1 LTF) indépendamment de la valeur litigieuse (art. 74 al. 2 let. d LTF).</w:t>
      </w:r>
    </w:p>
    <w:p>
      <w:r>
        <w:t>- 7/7 -</w:t>
      </w:r>
    </w:p>
    <w:p>
      <w:r>
        <w:t>C/21909/2013 PAR CES MOTIFS, La Chambre civile : A la forme : Déclare recevable le recours interjeté le 20 décembre 2013 par A_______ contre le jugement JTPI/16442/2013 rendu le 5 décembre 2013 par le Tribunal de première instance dans la cause C/21909/2013-8 SFC. Au fond : Admet le recours et annule ledit jugement. Renvoie la cause au Tribunal de première instance pour instruction au sens des considérants et nouvelle décision. Déboute les parties de toutes autres conclusions. Sur les frais : Arrête les frais judiciaires à 220 fr. et les met à la charge de l'Etat. Invite en conséquence l'Etat, soit pour lui les Services financiers du Pouvoir judiciaire à restituer 220 fr. à A_______. Dit qu'il n'est pas alloué de dépens. Siégeant : Madame Nathalie LANDRY-BARTHE, présidente; Madame Elena SAMPEDRO et Monsieur Laurent RIEBEN, juges; Madame Céline FERREIRA, greffière. 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