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ACJC/464/2025 vom 4. April 2025</w:t>
      </w:r>
    </w:p>
    <w:p>
      <w:r>
        <w:t>GE Cour de justice, 2025-04-04, FR</w:t>
      </w:r>
    </w:p>
    <w:p>
      <w:r>
        <w:rPr>
          <w:b/>
        </w:rPr>
        <w:t xml:space="preserve">Quelle: </w:t>
      </w:r>
      <w:r>
        <w:t>https://mcp.opencaselaw.ch/entscheid/ge_gerichte_ACJC_464_2025</w:t>
      </w:r>
    </w:p>
    <w:p>
      <w:r>
        <w:t>FR: GE_GERICHTE ACJC/464/2025 du 4 avril 2025</w:t>
      </w:r>
    </w:p>
    <w:p>
      <w:r>
        <w:t>IT: GE_GERICHTE ACJC/464/2025 del 4 aprile 2025</w:t>
      </w:r>
    </w:p>
    <w:p>
      <w:pPr>
        <w:pStyle w:val="Heading2"/>
      </w:pPr>
      <w:r>
        <w:t>Erwägungen</w:t>
      </w:r>
    </w:p>
    <w:p>
      <w:r>
        <w:rPr>
          <w:b/>
        </w:rPr>
        <w:t>E. 1</w:t>
      </w:r>
    </w:p>
    <w:p>
      <w:r>
        <w:t>1.1.1 Aux termes de l'art. 5 al. 1 CPC, la Chambre civile de la Cour de justice (art. 120 al. 1 let. a LOJ) connaît en instance unique des litiges portant sur des droits de propriété intellectuelle ou relevant de la Loi contre la concurrence déloyale (LCD) lorsque la valeur litigieuse dépasse 30'000 fr. (let. d). Cette compétence vaut également pour statuer sur les mesures provisionnelles requises avant litispendance (art. 5 al. 2 CPC). Selon l'art. 13 CPC, sauf disposition contraire de la loi, est impérativement compétent pour ordonner des mesures provisionnelles le tribunal compétent pour statuer sur l'action principale (let. a) ou le tribunal du lieu où la mesure doit être exécutée (let. b). A teneur de l'art. 36 CPC, le tribunal du domicile ou du siège du lésé ou du défendeur ou le tribunal du lieu de l'acte ou du résultat de celui-ci est compétent pour statuer sur les actions fondées sur un acte illicite. Les actions défensives fondées sur la LCD et la LDA, notamment, sont régies par la règle de l'art. 36 CPC (STEINAUER/FOUNTOULAKIS, Droit des personnes physiques et de la protection de l'adulte, 2014, n. 570b). 1.1.2 En l'espèce, la Cour est compétente pour connaître de la requête de mesures provisionnelles, puisque les requérantes, sises à Genève, se fondent notamment sur les dispositions de la LDA.</w:t>
      </w:r>
    </w:p>
    <w:p>
      <w:r>
        <w:rPr>
          <w:b/>
        </w:rPr>
        <w:t>E. 1.2</w:t>
      </w:r>
    </w:p>
    <w:p>
      <w:r>
        <w:t>Les mesures provisionnelles sont soumises à la procédure sommaire (art. 248 let. d CPC), dans le cadre de laquelle, sauf exceptions, les maxime des débats et de disposition sont applicables (art. 55 al. 1 et 58 al. 1 CPC).</w:t>
      </w:r>
    </w:p>
    <w:p>
      <w:r>
        <w:rPr>
          <w:b/>
        </w:rPr>
        <w:t>E. 2</w:t>
      </w:r>
    </w:p>
    <w:p>
      <w:r>
        <w:t>2.1.1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En vertu de l'art. 262 let. a CPC, le juge peut ordonner toute mesure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w:t>
      </w:r>
    </w:p>
    <w:p>
      <w:r>
        <w:t>- 9/16 -</w:t>
      </w:r>
    </w:p>
    <w:p>
      <w:r>
        <w:t>C/617/2025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t>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Tribunal fédéral 4A_611/2011 du 3 janvier 2012 consid. 4.1).</w:t>
      </w:r>
    </w:p>
    <w:p>
      <w:r>
        <w:t>Un risque de préjudice patrimonial difficilement réparable n'est en principe reconnu que lorsque la solvabilité de la partie adverse est douteuse, que l'exécution des créances patrimoniales l'est également ou que le préjudice patrimonial ne pourra que difficilement être réparé par la suite, notamment parce qu'il est difficile à chiffrer (SPRECHER, BSK-ZPO, 2024 art. 261 n. 28b et 34).</w:t>
      </w:r>
    </w:p>
    <w:p>
      <w:r>
        <w:t>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2.1.2 La LDA règle notamment la protection des auteurs d'œuvres littéraires et artistiques (art. 1 al. 1 let. a LDA). Par œuvre, quelle qu'en soit la valeur ou la destination, on entend toute création de l'esprit, littéraire ou artistique, qui a un caractère individuel (art. 2 al. 1 LDA).</w:t>
      </w:r>
    </w:p>
    <w:p>
      <w:r>
        <w:t>- 10/16 -</w:t>
      </w:r>
    </w:p>
    <w:p>
      <w:r>
        <w:t>C/617/2025 En vertu de l'art. 2 al. 2 LDA, sont notamment des créations de l'esprit les œuvres à contenu scientifique ou technique, tels que les dessins, les plans (let. d) et les œuvres d'architecture (let. e).</w:t>
      </w:r>
    </w:p>
    <w:p>
      <w:r>
        <w:t>L'objet de la protection du droit d'auteur est l'ouvrage architectural tel qu'il a été réalisé ou qu'il est communiqué au moyen de plans et de maquettes. Le critère décisif de la protection réside dans l'individualité, qui doit s'exprimer dans l'oeuvre elle-même.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(ATF 134 III 166 consid. 2.3.1, 2.3.2 et 2.5).</w:t>
      </w:r>
    </w:p>
    <w:p>
      <w:r>
        <w:t>L'auteur est la personne physique qui a créé l’œuvre (art. 6 LDA).</w:t>
      </w:r>
    </w:p>
    <w:p>
      <w:r>
        <w:t>Une personne morale ne peut pas revêtir la qualité d'auteur au sens de l'art. 6 LDA (arrêt du Tribunal fédéral 4A_317/2022 du 22 novembre 2022 consid. 3). Les droits d'auteur peuvent par contre être cédés par l'auteur à une personne morale (art. 16 al. 1 LDA; arrêt du Tribunal fédéral 4A_317/2022 du 22 novembre 2022 consid. 3). En pratique, la rémunération du transfert des droits d'auteur est comprise dans les honoraires de l'architecte. Les honoraires contractuels rémunèrent aussi bien les efforts effectués par l'architecte dans le cadre de son mandat que le transfert de ses droits d'auteur (CARRON, Le transfert contractuel des droits d'auteur de l'architecte et la résiliation anticipée du contrat, DC 2016, p. 325). L'art. 10 al. 1 LDA prévoit que l'auteur a notamment le droit exclusif de décider si, quand et de quelle manière son œuvre sera utilisée (let. a). 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 2.1.3 Selon l'art. 2 al. 1 CC, chacun est tenu d'exercer ses droits et d'exécuter ses obligations selon les règles de la bonne foi. Il s'agit là d'une règle de droit matériel que le juge doit dans toutes les instances, appliquer d'office, lorsque les circonstances de nature à créer ou à éteindre un droit selon cette disposition sont alléguées et prouvées conformément à la procédure applicable (ATF 143 III 666 consid. 4; 133 III 497, JT 2008 I 184 consid. 4 et 5).</w:t>
      </w:r>
    </w:p>
    <w:p>
      <w:r>
        <w:t>- 11/16 -</w:t>
      </w:r>
    </w:p>
    <w:p>
      <w:r>
        <w:t>C/617/2025</w:t>
      </w:r>
    </w:p>
    <w:p>
      <w:r>
        <w:t>2.1.4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Par exemple: une acheteuse dépose de la marchandise sur le tapis roulant à la caisse d’un magasin; la banque priée de donner un renseignement ne répond pas expressément qu’elle accepte de le faire, mais se contente de délivrer ce renseignement (MORIN, Commentaire romand, 2021, n. 10 ad art. 1 CO).</w:t>
      </w:r>
    </w:p>
    <w:p>
      <w:r>
        <w:rPr>
          <w:b/>
        </w:rPr>
        <w:t>E. 2.2</w:t>
      </w:r>
    </w:p>
    <w:p>
      <w:r>
        <w:t>En l'espèce, les requérantes font valoir que "les documents (notamment les plans) constituant le projet consacré dans la DD 3______ constituent une œuvre au sens de la LDA". Dans la mesure où la citée ne conteste pas que les plans en question présentent un degré d'originalité suffisant pour justifier une protection au sens des dispositions de la LDA, ni que les droits d'auteur y afférents ont été cédés à G______ SARL, en liquidation par la personne physique les ayant établis, la Cour retiendra que les requérantes ont rendu vraisemblable que tel était le cas. Les parties sont par ailleurs d'accord sur le fait que la cession des autorisations de construire et de démolir litigieuses implique le droit de démolir les bâtiments existants et procéder à la construction de ceux qui font l'objet de l'autorisation de construire Les requérantes n'ont par contre pas rendu vraisemblable qu'elles étaient autorisées à faire valoir les droits d'auteur portant sur les plans du projet de construction faisant l'objet de l'autorisation de construire DD 3______. Il résulte en effet du courrier de l'Office des faillites du 17 décembre 2024 que la cession des droits de la masse porte sur la créance de G______ SARL, en liquidation en paiement du montant de 376'000 fr. dû en échange de la cession des autorisations précités. Selon le courrier de l'Office, les requérantes sont uniquement autorisées à poursuivre la réalisation de cette créance en lieu et place de la masse. Aucun droit de propriété intellectuelle appartenant à la faillie n'est inclus dans la cession. Les requérantes ont d'ailleurs confirmé dans leur courrier à l'Office du 10 décembre 2024 qu'elles sollicitaient ladite cession afin de réclamer à E______ SA l'intégralité du montant dû par celle-ci pour le prix de la cession des autorisations précitées. Elles n'ont jamais prétendu qu'elles entendaient obtenir la cession de droits d'auteur appartenant à la faillie. Il en résulte que le seul droit qui a été cédé aux requérantes par la masse est celui de poursuivre le recouvrement de la créance alléguée par G______ SARL en</w:t>
      </w:r>
    </w:p>
    <w:p>
      <w:r>
        <w:t>- 12/16 -</w:t>
      </w:r>
    </w:p>
    <w:p>
      <w:r>
        <w:t>C/617/2025 liquidation à l'encontre de E______ SA en exécution du contrat de vente de décembre 2020. Dans l'hypothèse où cette créance était inexistante, en raison de la caducité de l'accord portant sur la cession des autorisations litigieuses, la seule conséquence serait que les requérantes n'auraient aucun droit à faire valoir. Cela ne les autoriserait pas à faire valoir, en lieu et place de G______ SARL, en liquidation, ses droits d'auteur sur le projet litigieux, car elles ne sont pas cessionnaires de ces droits. A cela s'ajoute que, contrairement à ce qu'allèguent les requérantes, cette cession n'est vraisemblablement pas caduque. Le fait que, selon les requérantes, la citée ne se soit pas acquittée du montant prévu, n'est pas déterminant, puisque le prix susmentionné n'est pas exigible. Tant l'art. III de l'acte de vente que l'art. 2 de l'accord de cession de la convention "EG/Promoteur" prévoient que le prix de vente était exigible le jour de la vente du dernier appartement. La citée soutient que les appartements n'ont pas tous été vendu et les requérantes n'allèguent pas, et ne rendent a fortiori pas vraisemblable, que tel soit le cas. La cession n'a dès lors vraisemblablement pas été invalidée en raison du fait que le prix n'a pas encore été payé. Le fait que l'autorisation de construire soit entrée en force postérieurement au 10 février 2023, soit l'échéance prévue par l'avenant au contrat de cession de convention "EG/Promoteur" conclu en février 2022, n'est pas non plus déterminant. En premier lieu, la cession des autorisations de construire est prévue par l'acte de vente du 16 décembre 2020 qui ne prévoit aucune condition à l'opération, qu'elle soit résolutoire ou suspensive. La convention "EG/Promoteur", signée en juin 2020, soit avant l'acte de vente, concerne un autre aspect de la transaction impliquant G______ SARL, en liquidation et la citée, à savoir la question de savoir quel entrepreneur effectuerait les travaux. Il est dès lors douteux que l'éventuelle caducité de la cession à la citée de ladite convention "EG/Promoteur" puisse avoir pour effet de remettre en cause une clause importante contenue dans l'acte de vente. En tout état de cause, la cession de la convention "EG/Promoteur" n'a vraisemblablement pas été révoquée. En effet, l'art. 1 de l'avenant de février 2022 prévoit que la convention est "présumée avoir été révoquée par les parties, sans indemnité due de part et</w:t>
      </w:r>
    </w:p>
    <w:p>
      <w:r>
        <w:t>- 13/16 -</w:t>
      </w:r>
    </w:p>
    <w:p>
      <w:r>
        <w:t>C/617/2025 d'autre", si l'autorisation de construire n'est pas entrée en vigueur au 10 février 2023. Il ressort cependant de l'attitude adoptée par les parties après l'expiration de cette date qu'elles ont convenu, par actes concluants, de prolonger la durée de ladite convention au-delà du 10 février 2023. En notifiant à la citée un commandement de payer portant sur le paiement de 376'000 fr. au titre du prix de vente de la cession des autorisations de construire et de démolir, la masse en faillite de G______ SARL, en liquidation, successeur légal de celle-ci, a confirmé à la citée qu'elle considérait que l'art. III du contrat de vente du 16 décembre 2020 était toujours valable et que la citée était tenue de s'acquitter du prix convenu pour la vente des autorisations précitées. Ce qui précède a été corroboré par l'inscription à l'inventaire des biens de la faillie de la créance susmentionnée. J______ SA a de plus bien commencé à œuvrer en tant qu'entreprise générale pour le chantier litigieux, ce qui atteste du fait que l'accord de cession de la convention "EG/Promoteur" prévoyant son intervention à ce titre n'a pas été révoqué et est toujours en vigueur. Les requérantes étaient parfaitement informées de cette situation et l'ont approuvée puisqu'elles ont fait savoir à l'Office des faillites qu'elles ne souhaitaient pas que la masse renonce à réclamer à la citée le montant de 376'000 fr. convenu en échange des autorisations litigieuses et qu'elles entendaient au contraire poursuivre le recouvrement de ladite créance. Ces déclarations impliquent qu'elles considéraient elles aussi que l'art. III du contrat de vente était toujours valable. Si tel n'avait pas été le cas, et si la cession avait été révoquée, la masse en faillite n'aurait eu aucune créance à l'encontre de la citée à céder aux requérantes. En effet, l'art. 1 de l'avenant à l'accord de cession de la convention "EG/Promoteur" dont se prévalent les requérantes stipule qu'en cas de révocation de la cession, aucune indemnité n'est due entre les parties. L'attitude des requérantes, consistant à soutenir maintenant une thèse opposée est contraire aux règles de la bonne foi et ne mérite aucune protection. Les requérantes n'ont ainsi pas rendu vraisemblable qu'elles avaient une prétention envers la citée en application des dispositions de la LDA.</w:t>
      </w:r>
    </w:p>
    <w:p>
      <w:r>
        <w:rPr>
          <w:b/>
        </w:rPr>
        <w:t>E. 3</w:t>
      </w:r>
    </w:p>
    <w:p>
      <w:r>
        <w:t>Les requérantes font en outre valoir que les travaux en cours sur la parcelle n°1______ de la Commune de H______ constituent des actes de concurrence déloyale de la part de la citée prohibés par l'art. 9 LCD.</w:t>
      </w:r>
    </w:p>
    <w:p>
      <w:r>
        <w:t>- 14/16 -</w:t>
      </w:r>
    </w:p>
    <w:p>
      <w:r>
        <w:t>C/617/2025</w:t>
      </w:r>
    </w:p>
    <w:p>
      <w:r>
        <w:rPr>
          <w:b/>
        </w:rPr>
        <w:t>E. 3.1</w:t>
      </w:r>
    </w:p>
    <w:p>
      <w:r>
        <w:t>Selon l'art.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ou d’en constater le caractère illicite, si le trouble qu’elle a créé subsiste.</w:t>
      </w:r>
    </w:p>
    <w:p>
      <w:r>
        <w:t>La LCD prohibe les comportements déloyaux ayant une incidence néfaste sur le bon fonctionnement de la concurrence. Est donc légitimé à agir en justice en vertu de cette loi celui qui subit ou risque de subir les effets sur le marché d’un tel comportement, c’est-à-dire celui qui est menacé ou victime d’une atteinte. Il peut s’agir d’un participant au marché se trouvant dans un rapport de concurrence avec le défendeur ou qui subit ou risque de subir une détérioration de sa position concurrentielle en raison du comportement déloyal d’un non-compétiteur. Un rapport de causalité doit exister entre le comportement du défendeur et l’atteinte visée par l’art. 9 al. 1 LCD. Une telle atteinte peut prendre la forme d’une perte de clientèle, d’une détérioration du crédit ou de la réputation du demandeur, ses intérêts économiques en général pouvant également être lésés (FORNAGE, Commentaire romand LCD, 2017, n. 3-4 ad art. 9)</w:t>
      </w:r>
    </w:p>
    <w:p>
      <w:r>
        <w:t>La qualité pour agir suppose que le demandeur ait un intérêt immédiat au maintien ou à l’amélioration de sa propre position sur le marché en cas de succès de la procédure (FORNAGE, op. cit., n. 6 ad art. 9 LCD).</w:t>
      </w:r>
    </w:p>
    <w:p>
      <w:r>
        <w:rPr>
          <w:b/>
        </w:rPr>
        <w:t>E. 3.2</w:t>
      </w:r>
    </w:p>
    <w:p>
      <w:r>
        <w:t>En l'espèce, les requérantes exercent les droits de la masse en faillite de G______ SARL en liquidation. Or, celle-ci, qui n'exerce aucune activité économique, n'a pas qualité pour agir au sens de l'art. 9 LCD. Elle ne risque en effet pas de subir une atteinte à l'un ou l'autre des biens énumérés à l'art. 1 LCD.</w:t>
      </w:r>
    </w:p>
    <w:p>
      <w:r>
        <w:t>La requête doit donc être rejetée également en tant qu'elle se fonde sur la LCD.</w:t>
      </w:r>
    </w:p>
    <w:p>
      <w:r>
        <w:rPr>
          <w:b/>
        </w:rPr>
        <w:t>E. 4</w:t>
      </w:r>
    </w:p>
    <w:p>
      <w:r>
        <w:t>L'on ajoutera finalement que les requérantes n'ont pas rendu vraisemblable qu'elles risquaient de subir un dommage difficilement réparable dans l'hypothèse où les mesures qu'elles requièrent n'étaient pas prononcées.</w:t>
      </w:r>
    </w:p>
    <w:p>
      <w:r>
        <w:t>Elles se limitent à alléguer sur ce point que les agissements de la partie citée risquent de leur causer un dommage difficile à réparer car celle-ci "au fur et à mesure du déroulement du chantier (…) encaisse indûment de l'argent" ce qui leur ferait courir le risque "de ne pas pouvoir récupérer le montant dû par" celle-ci et "de ne pas pouvoir obtenir réparation pour leur créance propre à l'égard de la faillie".</w:t>
      </w:r>
    </w:p>
    <w:p>
      <w:r>
        <w:t>Cette argumentation est inconsistante. La thèse des requérantes, selon laquelle la masse aurait droit à la fois à conserver les autorisations litigieuses et à réclamer leur prix de vente, est en contradiction évidente avec les termes de l'art. 1 de</w:t>
      </w:r>
    </w:p>
    <w:p>
      <w:r>
        <w:t>- 15/16 -</w:t>
      </w:r>
    </w:p>
    <w:p>
      <w:r>
        <w:t>C/617/2025 l'avenant au contrat de cession de convention "EG/Promoteur", qui prévoit qu'aucune indemnité n'est due en cas de révocation de la cession.</w:t>
      </w:r>
    </w:p>
    <w:p>
      <w:r>
        <w:t>En tout état de cause, les requérantes n'ont pas rendu vraisemblable qu'elles risquaient de subir un dommage difficilement réparable dans l'hypothèse où les mesures requises n'étaient pas ordonnées. Aucun élément de la procédure ne permet de retenir que la citée serait insolvable et ne serait pas en mesure de restituer ultérieurement les montants qu'elle aurait par hypothèse indûment perçus jusqu'au prononcé d'une éventuelle décision au fond qui donnerait raison aux requérantes.</w:t>
      </w:r>
    </w:p>
    <w:p>
      <w:r>
        <w:t>A cela s'ajoute que l'on ne voit pas en quoi les perspectives de recouvrement de la créance alléguée par les requérantes seraient améliorées par l'arrêt du chantier.</w:t>
      </w:r>
    </w:p>
    <w:p>
      <w:r>
        <w:rPr>
          <w:b/>
        </w:rPr>
        <w:t>E. 5</w:t>
      </w:r>
    </w:p>
    <w:p>
      <w:r>
        <w:t>Les requérantes, qui succombent, seront condamnées solidairement aux frais et dépens de la procédure (art. 106 CPC).</w:t>
      </w:r>
    </w:p>
    <w:p>
      <w:r>
        <w:t>Les frais judicaires seront arrêtés à 5'000 fr. (art. 13 et 26 RTFMC) et partiellement compensés avec l'avance de 3'000 fr. versée par les requérantes. Celles-ci seront condamnées à verser le solde en 2'000 fr. aux Services financiers du Pouvoir judiciaire (art. 111 CPC).</w:t>
      </w:r>
    </w:p>
    <w:p>
      <w:r>
        <w:t>Les dépens dus à la citée seront fixés à 7'000 fr., débours et TVA inclus, étant rappelé que les requérantes ont fixé la valeur litigieuse à 376'000 fr. (art. 84 ss RTFMC; 23, 25 et 26 LaCC). * * * *</w:t>
      </w:r>
    </w:p>
    <w:p>
      <w:r>
        <w:t>- 16/16 -</w:t>
      </w:r>
    </w:p>
    <w:p>
      <w:r>
        <w:t>C/617/2025</w:t>
      </w:r>
    </w:p>
    <w:p>
      <w:r>
        <w:t>PAR CES MOTIFS, La Chambre civile Statuant sur mesures provisionnelles: Déboute A______ SA, B______ SA et C______ SARL des fins de leur requête de mesures provisionnelles formée le 15 janvier 2025 à l'encontre de E______ SA. Met les frais judiciaires, arrêtés à 5'000 fr., à la charge des précitées, prises solidairement, et les compense à hauteur de 3'000 fr. avec l'avance versée par leur soins, acquise à l'Etat de Genève. Condamne solidairement A______ SA, B______ SA et C______ SARL à verser 2'000 fr. à l'Etat de Genève au titre des frais judiciaires. Condamne solidairement A______ SA, B______ SA et C______ SARL à verser 7'000 fr. de dépens à E______ SA. Déboute les parties de toutes autres conclusions. Siégeant : Madame Fabienne GEISINGER-MARIETHOZ, présidente; Monsieur Laurent RIEBEN, Madame Ursula ZEHETBAUER GHAVAMI, juges; Madame Sophie MARTINEZ,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