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ACJC/463/2026 vom 12. März 2026</w:t>
      </w:r>
    </w:p>
    <w:p>
      <w:r>
        <w:t>GE Cour de justice, 2026-03-12, FR</w:t>
      </w:r>
    </w:p>
    <w:p>
      <w:r>
        <w:rPr>
          <w:b/>
        </w:rPr>
        <w:t xml:space="preserve">Quelle: </w:t>
      </w:r>
      <w:r>
        <w:t>https://mcp.opencaselaw.ch/entscheid/ge_gerichte_ACJC_463_2026</w:t>
      </w:r>
    </w:p>
    <w:p>
      <w:r>
        <w:t>FR: GE_GERICHTE ACJC/463/2026 du 12 mars 2026</w:t>
      </w:r>
    </w:p>
    <w:p>
      <w:r>
        <w:t>IT: GE_GERICHTE ACJC/463/2026 del 12 marzo 2026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Selon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Elle n'examine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w:t>
      </w:r>
    </w:p>
    <w:p>
      <w:r>
        <w:rPr>
          <w:b/>
        </w:rPr>
        <w:t>E. 2</w:t>
      </w:r>
    </w:p>
    <w:p>
      <w:r>
        <w:t>Le recourant fait grief au Tribunal d'avoir retenu que les pièces produites ne valaient pas titre de mainlevée au sens de l'art. 80 LP.</w:t>
      </w:r>
    </w:p>
    <w:p>
      <w:r>
        <w:t>- 6/9 -</w:t>
      </w:r>
    </w:p>
    <w:p>
      <w:r>
        <w:t>C/19143/2025</w:t>
      </w:r>
    </w:p>
    <w:p>
      <w:r>
        <w:t>2.1.1 Le créancier qui est au bénéfice d'un jugement exécutoire peut requérir du juge la mainlevée définitive de l'opposition (art. 80 al. 1 LP). 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81 al. 1 LP). Dans la procédure de poursuite, les décisions des autorités administratives suisses sont assimilées à des jugements (art. 80 al. 2 ch. 2 LP). Les décisions et prononcés de taxation rendus par les autorités fiscales en matière d'impôt fédéral direct ainsi que d'impôt cantonal et communal, qui sont entrés en force, produisent les mêmes effets qu'un jugement exécutoire (art. 165 al. 3 LIFD; cf. sur ces notions notamment les arrêts du Tribunal fédéral 5A_41/2018 du 18 juillet 2018 consid. 3.2.1 et 3.2.3; 5D_117/2017 du 23 janvier 2018 consid. 2.1). 2.1.2 Le juge de la mainlevée définitive examine seulement la force probante du titre produit par le créancier, sa nature formelle, et non la validité de la créance. Il doit examiner d'office les trois identités – l'identité entre le poursuivant et le créancier désigné dans ce titre, l'identité entre le poursuivi et le débiteur désigné et l'identité entre la prétention déduite en poursuite et le titre qui lui est présenté – et statuer sur le droit du créancier de poursuivre le débiteur, c'est-à-dire décider si l'opposition doit ou non être maintenue (ATF 140 III 372 consid. 3.1; 139 III 444 consid. 4.1.1). La solidarité qui résulte d'une disposition légale ne permet pas d'opposer à un débiteur non-partie au procès le jugement rendu contre un autre débiteur; ainsi, le jugement rendu uniquement contre l'un des époux ne constitue pas un titre à la mainlevée définitive contre l'autre, même si la dette relève de la représentation de l'union conjugale (art. 166 CC). Il en va a fortiori de même en cas de simple concours d'actions (ou solidarité imparfaite : art. 51 CO) entre plusieurs responsables : le jugement obtenu par le créancier contre l'un d'entre eux ne constitue pas un titre de mainlevée contre les autres. Si en revanche la solidarité résulte du jugement, chaque débiteur solidaire répond de l'entier de la dette (jusqu'à extinction totale de celle-ci), y compris lorsque les poursuites sont intentées simultanément contre tous les débiteurs (ABBET/VEUILLET, La mainlevée de l'opposition, 2022, n. 88 ad art. 80 LP et les réf. citées). La mainlevée définitive ne peut en principe être prononcée que contre la personne désignée en qualité de débitrice dans la décision. Contre un tiers que la loi désigne comme débiteur solidaire, la mainlevée ne peut être accordée que si la décision lui a été notifiée, avec indication des voies de droit, et s'il est précisé expressément</w:t>
      </w:r>
    </w:p>
    <w:p>
      <w:r>
        <w:t>- 7/9 -</w:t>
      </w:r>
    </w:p>
    <w:p>
      <w:r>
        <w:t>C/19143/2025 qu'à défaut de contestation la décision pourra être exécutée contre lui (ABBET/VEUILLET, op. cit., n. 154 ad art. 80 LP et les réf. citées). 2.1.3 Selon l'art. 177 de la loi fédérale sur l'impôt fédéral directe (LIFD), celui qui, intentionnellement, incite à une soustraction d'impôt, y prête son assistance, la commet en qualité de représentant du contribuable ou y participe, sera puni d'une amende fixée indépendamment de la peine encourue par le contribuable; en outre, il répond solidairement de l'impôt soustrait (al. 1). L'amende est de 10'000 fr. au plus; elle est de 50'000 fr. au plus dans les cas graves ou en cas de récidive (al. 2) Lorsqu'une personne au sens de l'al. 1 se dénonce spontanément et pour la première fois et que les conditions prévues à l'art. 175 al. 3 let. a et b sont remplies, il est renoncé à la poursuite pénale et la responsabilité solidaire est supprimée (al. 3).</w:t>
      </w:r>
    </w:p>
    <w:p>
      <w:r>
        <w:rPr>
          <w:b/>
        </w:rPr>
        <w:t>E. 2.2</w:t>
      </w:r>
    </w:p>
    <w:p>
      <w:r>
        <w:t>Le recourant soutient que l'intimée serait débitrice solidaire du paiement des impôts IFD soustraits par B______ SA pour les périodes fiscales 2012 à 2015, conformément à l'art. 177 al. 1, 2ème phrase et 2 LIFD. Selon lui, cette solidarité découlerait des bordereaux d'amende notifiés à l'intimée le 12 décembre 2022. Ce moyen tombe à faux. Ainsi que l'a retenu le Tribunal, les bordereaux de rappel d'impôt et de taxation notifiés à B______ SA le 20 décembre 2018 ne font pas mention d'une quelconque solidarité de l'intimée pour le paiement des impôts IFD soustraits par cette société lors des périodes fiscales 2012 à 2015. Il ressort par ailleurs des pièces annexées à la requête de mainlevée que les bordereaux d'amende IFD notifiés à l'intimée le 12 décembre 2022 – qui n'ont pas été versés à la présente procédure – avaient pour unique objet les quatre amendes de 5'000 fr. infligées à l'intimée en application de l'art. 177 al. 1, 1ère phrase et 2 LIFD. En effet, dans sa décision sur réclamation du 30 janvier 2023, l'AFC a déclaré maintenir "les amendes faisant l'objet de [la] réclamation", sans statuer formellement sur la question de la responsabilité solidaire de l'intimée en lien avec les bordereaux de rappel d'impôt et de taxation IFD notifiés à B______ SA le 20 décembre 2018 (respectivement sur l'éventuelle suppression de cette responsabilité en application de l'art. 177 al. 3 LIFD, au vu de la dénonciation spontanée effectuée par les époux A______/C______ le 24 août 2017). Dans son jugement du 13 novembre 2023, le TAPI s'est, quant à lui, limité à statuer sur le bien-fondé et sur la quotité des amendes infligées à l'intimée, sans examiner la question d'une responsabilité solidaire de cette dernière pour le paiement des impôts IFC soustraits par B______ SA lors des exercices 2012 à 2015. En d'autres termes, aucun des titres produits ne désigne l'intimée comme débitrice (solidaire) du paiement des créances faisant l'objet de la poursuite n° 1______. Au vu des considérations qui précèdent, c'est à bon droit que le Tribunal a rejeté la requête de mainlevée du recourant, au motif que celui-ci n'avait produit aucun titre de mainlevée définitive au sens de l'art. 80 al. 1 LP.</w:t>
      </w:r>
    </w:p>
    <w:p>
      <w:r>
        <w:t>- 8/9 -</w:t>
      </w:r>
    </w:p>
    <w:p>
      <w:r>
        <w:t>C/19143/2025 Le recours, infondé, sera par conséquent rejeté.</w:t>
      </w:r>
    </w:p>
    <w:p>
      <w:r>
        <w:rPr>
          <w:b/>
        </w:rPr>
        <w:t>E. 3</w:t>
      </w:r>
    </w:p>
    <w:p>
      <w:r>
        <w:t>Les frais judiciaires de recours, incluant l'émolument de décision sur effet suspensif, seront arrêtés à 950 fr. (art. 48 et 61 OELP; art. 26 RTFMC), mis à la charge du recourant, qui succombe (art. 106 al. 1 CPC), et compensés avec l'avance versée, qui reste acquise à l'Etat de Genève, soit pour lui les Services financiers du Pouvoir judiciaire (art. 111 al. 1 CPC).</w:t>
      </w:r>
    </w:p>
    <w:p>
      <w:r>
        <w:t>Il n'y a pas lieu d'allouer des dépens de recours à l'intimée, qui comparaît en personne et n'a pas répondu au recours dans le délai fixé à cet effet (art. 95 al. 3 let. c CPC a contrario).</w:t>
      </w:r>
    </w:p>
    <w:p>
      <w:r>
        <w:t>* * * * *</w:t>
      </w:r>
    </w:p>
    <w:p>
      <w:r>
        <w:t>- 9/9 -</w:t>
      </w:r>
    </w:p>
    <w:p>
      <w:r>
        <w:t>C/19143/2025</w:t>
      </w:r>
    </w:p>
    <w:p>
      <w:r>
        <w:t>PAR CES MOTIFS, La Chambre civile : A la forme : Déclare recevable le recours interjeté le 14 janvier 2026 par l'ETAT DE GENEVE, soit pour lui l'Administration fiscale cantonale, contre le jugement JTPI/17663/2025 rendu le 17 décembre 2025 par le Tribunal de première instance dans la cause C/19143/2025. Au fond : Le rejette. Déboute les parties de toutes autres conclusions. Sur les frais : Arrête les frais judiciaires de recours à 950 fr., les met à la charge de l'ETAT DE GENEVE, soit pour lui l'Administration fiscale cantonale, et les compense avec l'avance versée, qui reste acquise à l'Etat de Genève, soit pour lui les Services financiers du Pouvoir judiciaire. Dit qu'il n'y a pas lieu à l'allocation de dépens de recours. Siégeant : Madame Fabienne GEISINGER-MARIETHOZ, présidente; Monsieur Laurent RIEBEN, Madame Nathalie RAPP,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