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ACJC/462/2025 vom 4. April 2025</w:t>
      </w:r>
    </w:p>
    <w:p>
      <w:r>
        <w:t>GE Cour de justice, 2025-04-04, FR</w:t>
      </w:r>
    </w:p>
    <w:p>
      <w:r>
        <w:rPr>
          <w:b/>
        </w:rPr>
        <w:t xml:space="preserve">Quelle: </w:t>
      </w:r>
      <w:r>
        <w:t>https://mcp.opencaselaw.ch/entscheid/ge_gerichte_ACJC_462_2025</w:t>
      </w:r>
    </w:p>
    <w:p>
      <w:r>
        <w:t>FR: GE_GERICHTE ACJC/462/2025 du 4 avril 2025</w:t>
      </w:r>
    </w:p>
    <w:p>
      <w:r>
        <w:t>IT: GE_GERICHTE ACJC/462/2025 del 4 aprile 2025</w:t>
      </w:r>
    </w:p>
    <w:p>
      <w:pPr>
        <w:pStyle w:val="Heading2"/>
      </w:pPr>
      <w:r>
        <w:t>Erwägungen</w:t>
      </w:r>
    </w:p>
    <w:p>
      <w:r>
        <w:rPr>
          <w:b/>
        </w:rPr>
        <w:t>E. 1.1</w:t>
      </w:r>
    </w:p>
    <w:p>
      <w:r>
        <w:t>L'appel est recevable contre les décisions finales et les décisions incidentes de première instance (art. 308 al. 1 let. a CPC) rendues dans des affaires patrimoniales dont la valeur litigieuse est supérieure à 10'000 fr. (art. 308 al. 2 CPC). La radiation du rôle de la procédure selon l'art. 206 al. 1 CPC (défaut de demandeur à l'audience de conciliation) est un cas de radiation d'une cause devenue sans objet, selon l'art. 242 CPC, spécialement réglé par la loi. En tant que cette radiation du rôle met un terme à la procédure, il s'agit d'une décision finale qui est sujette à appel si la valeur litigieuse est supérieure à 10'000 fr. Si tel n'est pas le cas, cette décision est sujette à recours selon l'art. 319 lit. a CPC (ATF 148 III 186 consid. 6, commenté par BASTONS BULLETTI in Newsletter CPC online du 8 avril 2022).</w:t>
      </w:r>
    </w:p>
    <w:p>
      <w:r>
        <w:t>La voie de l'appel est ouverte in casu, la valeur litigieuse étant d'environ 15'000 fr. Interjeté dans le délai et selon la forme prescrits par la loi (art. 130, 131, 142 al. 1 et 3, 143 al. 1 et 311 al. 1 CPC), l'appel est recevable.</w:t>
      </w:r>
    </w:p>
    <w:p>
      <w:r>
        <w:rPr>
          <w:b/>
        </w:rPr>
        <w:t>E. 1.2</w:t>
      </w:r>
    </w:p>
    <w:p>
      <w:r>
        <w:t>La Cour revoit la cause en fait et en droit avec un plein pouvoir d'examen (art. 310 CPC), dans la limite des griefs suffisamment motivés qui sont formulés (ATF 142 III 413 consid. 2.2.4 et les références citées).</w:t>
      </w:r>
    </w:p>
    <w:p>
      <w:r>
        <w:rPr>
          <w:b/>
        </w:rPr>
        <w:t>E. 1.3</w:t>
      </w:r>
    </w:p>
    <w:p>
      <w:r>
        <w:t>Le présente cause est régie par la procédure simplifiée (art. 243 ss CPC). La maxime des débats (art. 55 al. 1 CPC) et le principe de disposition (art. 58 al. 1 CPC) sont applicables.</w:t>
      </w:r>
    </w:p>
    <w:p>
      <w:r>
        <w:rPr>
          <w:b/>
        </w:rPr>
        <w:t>E. 2</w:t>
      </w:r>
    </w:p>
    <w:p>
      <w:r>
        <w:t>L'appelante reproche au Tribunal d'avoir rayé la cause du rôle, au motif qu'elle aurait fait défaut à l'audience de conciliation du 26 août 2024. 2.1.1 Le CPC a adopté le système de la conciliation préalable obligatoire devant une autorité de conciliation (art. 197 CPC), sous réserve des exceptions prévues aux art. 198 et 199 CPC - non réalisées en l'espèce. Le demandeur ne peut déposer valablement sa demande en justice sans avoir au préalable requis la conciliation</w:t>
      </w:r>
    </w:p>
    <w:p>
      <w:r>
        <w:t>- 5/8 -</w:t>
      </w:r>
    </w:p>
    <w:p>
      <w:r>
        <w:t>C/5926/2024 devant cette autorité de conciliation et obtenu la délivrance d'une autorisation de procéder (art. 209, 221 al. 2 let. b et 244 al. 3 let. b CC). Les parties doivent comparaître en personne à l'audience de conciliation (art. 204 al. 1 CPC).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La seule présence d'un avocat n'est pas suffisante pour réaliser la condition de comparution personnelle (ATF 140 III 70 consid. 4.3). L'autorité de conciliation doit examiner d'office, lors de l'audience de conciliation, si la condition de comparution personnelle au sens de l'art. 204 al. 1 CPC est réalisée (ATF 141 III 159 consid. 2.4). La partie qui, bien que régulièrement assignée (cf. art. 147 al. 1 CPC), ne comparaît pas personnellement, alors même qu'elle ne peut se prévaloir d'un des motifs de dispense prévu à l'art. 204 al. 3 CPC, ou, lorsqu'elle dispose d'un motif de dispense, n'est pas valablement représentée, est considérée comme défaillante (arrêts du Tribunal fédéral 4A_208/2019 du 30 janvier 2020 consid. 3.1; 4C_1/2013 du 25 juin 2013 consid. 4.3). Les conséquences du défaut de comparution sont réglées à l'art. 206 CPC. En cas de défaut du demandeur, la requête est considérée comme retirée; la procédure devient sans objet et l'affaire est rayée du rôle (art. 206 al. 1 CPC; arrêt du Tribunal fédéral 4A_179/2022 du 13 septembre 2022 consid. 5). 2.1.2 Par "citation",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de témoin (art. 170), de personne appelée à fournir des renseignements ou d'expert (art. 187). La citation des parties est une formalité essentielle du procès qui porte à la connaissance de celles-ci la tenue d'une audience et leur permet d'exercer leur droit d'être entendu (BOHNET, in CR CPC, 2019, n. 2 à 4 ad art. 133 CPC). Selon l'art. 133 CPC, la citation indique le nom et l'adresse de la personne citée à comparaître (let. a), l'objet du litige et les parties (let. b), la qualité en laquelle la personne et citée à comparaître (let. c), le lieu, la date et l'heure de la comparution (let. d), l'acte de procédure pour lequel elle est citée (let. e), les conséquences d'une non-comparution (let. f), la date de la citation et la signature du tribunal (let. g). Le tribunal notifie aux personnes concernées les citations, les ordonnances, les décisions et les actes de la partie adverse (art. 136 CPC).</w:t>
      </w:r>
    </w:p>
    <w:p>
      <w:r>
        <w:t>- 6/8 -</w:t>
      </w:r>
    </w:p>
    <w:p>
      <w:r>
        <w:t>C/5926/2024 Les citations, ordonnances et décisions sont notifiées par envoi recommandé ou d'une autre manière contre accusé de réception (art. 138 al. 1 CPC). Lorsque la partie est représentée, les actes sont notifiés à son représentant (art. 137 CPC). 2.1.3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défaut suppose une communication ou une citation régulière. Ce n'est pas le cas, et les conséquence d'un défaut ne pourront dès lors en principe pas être retenues contre l'intéressé, s'il ne s'est pas vu notifier conformément aux exigences légales la décision déclenchant normalement le délai, respectivement s'il n'a pas été assigné à comparaître de manière conforme auxdites exigences légales. Celles-ci comportent notamment les règles sur le contenu des citations (art. 133 CPC) et sur la notification (art. 136 ss CPC) (TAPPY, in CR CPC, 2019, n. 6 ad art. 147 CPC). Le fardeau de la preuve de la notification régulière incombe au tribunal. Une notification irrégulière ne déploie en principe aucun effet juridique. Le tribunal doit en tenir compte d'office et répéter l'opération de procédure en cause - telle la fixation d'un délai ou une citation. Ce sera notamment le cas si, en raison du vice affectant la notification, une partie a été empêchée de participer à une audience et d'y faire valoir ses moyens, ce qui consacre une violation de son droit d'être entendue (arrêt du Tribunal fédéral 5A_44/2021 du 23 août 2021 consid. 2.1.3 et 2.5).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(ATF 132 II 21 consid. 3.1; 129 I 361 consid. 2.1; 122 I 97 consid. 3a/aa). 2.1.4 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codifié pour la procédure civile à l'art. 52 CPC. Il s'adresse à tous les participants au procès, soit principalement les parties au procès et le juge. Par comportement de bonne foi, on entend un comportement qui, objectivement, correspond à ce qui peut être légitimement attendu des participants au procès (BOHNET, op. cit., n. 6 et 12 ad art. 52 CPC).</w:t>
      </w:r>
    </w:p>
    <w:p>
      <w:r>
        <w:t>- 7/8 -</w:t>
      </w:r>
    </w:p>
    <w:p>
      <w:r>
        <w:t>C/5926/2024</w:t>
      </w:r>
    </w:p>
    <w:p>
      <w:r>
        <w:rPr>
          <w:b/>
        </w:rPr>
        <w:t>E. 2.2</w:t>
      </w:r>
    </w:p>
    <w:p>
      <w:r>
        <w:t>En l'espèce, l'appelante reproche au Tribunal de ne pas l'avoir régulièrement citée à comparaître à l'audience du 26 août 2024. Ce grief est fondé. A teneur du dossier de procédure, aucune convocation n'a été notifiée à l'appelante, respectivement à son conseil, par envoi recommandé ou d'une autre manière contre accusé de réception. L'ordonnance du 5 juin 2024, qui se borne à évoquer une audience du 26 août 2024, ne saurait être assimilée à une citation à comparaître, dès lors qu'elle ne mentionne pas les conséquences de la non- comparution, ni le lieu et l'heure de la comparution. De surcroît, elle ne contient aucune mention qui laisserait entendre que l'ordonnance, en tant que telle, vaudrait citation à comparaître pour l'appelante. Il appert au contraire que cette ordonnance avait pour unique objet la prochaine notification à l'intimée - et non à l'appelante - de différents actes de procédure par voie d'huissier judiciaire. N'ayant elle-même reçu aucune citation à comparaître, l'appelante a été privée de la possibilité d'assister et de participer à l'audience du 26 août 2024, ce qui consacre une violation de son droit d'être entendue. Il résulte de ce qui précède que l'appelante n'a pas été assignée régulièrement à l'audience en question. Partant, conformément aux principes rappelés ci-avant, elle ne saurait se voir imputer un quelconque défaut de comparution au sens de l'art. 147 al. 1 CPC. L'on ne saurait davantage lui reprocher de ne pas s'être conformée aux règles de la bonne foi. En effet, l'appelante pouvait légitimement s'attendre à ce que le Tribunal lui notifie - comme à l'intimée - une citation à comparaître respectant les exigences fixées aux art. 133 ss CPC, sans avoir à l'interpeller à ce sujet. C'est ainsi à tort que le premier juge a rayé la cause du rôle sur la base de l'art. 206 al. 1 CPC, les conséquences d'un défaut de comparution n'étant - en l'absence de citation valable - pas opposable à l'appelante. Le jugement attaqué sera dès lors annulé et la cause sera renvoyée au Tribunal afin qu'il reprenne la procédure et qu'il cite les parties à comparaître personnellement à une nouvelle audience de conciliation.</w:t>
      </w:r>
    </w:p>
    <w:p>
      <w:r>
        <w:rPr>
          <w:b/>
        </w:rPr>
        <w:t>E. 3</w:t>
      </w:r>
    </w:p>
    <w:p>
      <w:r>
        <w:t>Vu l'issue du litige, les frais judiciaires d'appel, fixés à 500 fr. (art. 17 et 35 RTFMC), seront laissés à la charge de l'Etat de Genève (art. 107 al. 2 CPC). L'avance de frais effectuée par l'appelante lui sera restituée. Il ne sera pas alloué de dépens d'appel, étant relevé que l'art. 107 al. 2 CPC ne prévoit pas la possibilité de mettre les dépens à charge du canton si celui-ci n'est pas partie au procès (ATF 140 III 385 consid. 4.1). * * * * *</w:t>
      </w:r>
    </w:p>
    <w:p>
      <w:r>
        <w:t>- 8/8 -</w:t>
      </w:r>
    </w:p>
    <w:p>
      <w:r>
        <w:t>C/5926/2024</w:t>
      </w:r>
    </w:p>
    <w:p>
      <w:r>
        <w:t>PAR CES MOTIFS, La Chambre civile : A la forme : Déclare recevable l'appel interjeté le 30 septembre 2024 par A______ contre le jugement JCTPI/224/2024 rendu le 27 août 2024 par le Tribunal de première instance dans la cause C/5926/2024. Au fond : Annule ce jugement. Renvoie la cause au Tribunal de première instance afin qu'il procède dans le sens des considérants. Déboute les parties de toutes autres conclusions d'appel. Sur les frais : Arrête les frais judiciaires d'appel à 500 fr. et les laisse à la charge de l'Etat de Genève. Invite les Services financiers du Pouvoir judiciaire à restituer 500 fr. à A______. Dit qu'il n'est pas alloué de dépens d'appel. Siégeant : Madame Nathalie RAPP, présidente; Madame Sylvie DROIN, Monsieur Jean REYMOND,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