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ACJC/462/2020 vom 9. März 2020</w:t>
      </w:r>
    </w:p>
    <w:p>
      <w:r>
        <w:t>GE Cour de justice, 2020-03-09, FR</w:t>
      </w:r>
    </w:p>
    <w:p>
      <w:r>
        <w:rPr>
          <w:b/>
        </w:rPr>
        <w:t xml:space="preserve">Quelle: </w:t>
      </w:r>
      <w:r>
        <w:t>https://mcp.opencaselaw.ch/entscheid/ge_gerichte_ACJC_462_2020</w:t>
      </w:r>
    </w:p>
    <w:p>
      <w:r>
        <w:t>FR: GE_GERICHTE ACJC/462/2020 du 9 mars 2020</w:t>
      </w:r>
    </w:p>
    <w:p>
      <w:r>
        <w:t>IT: GE_GERICHTE ACJC/462/2020 del 9 marzo 2020</w:t>
      </w:r>
    </w:p>
    <w:p>
      <w:pPr>
        <w:pStyle w:val="Heading2"/>
      </w:pPr>
      <w:r>
        <w:t>Erwägungen</w:t>
      </w:r>
    </w:p>
    <w:p>
      <w:r>
        <w:rPr>
          <w:b/>
        </w:rPr>
        <w:t>E. 1.1</w:t>
      </w:r>
    </w:p>
    <w:p>
      <w:r>
        <w:t>S'agissant d'une procédure de faillite, seule la voie du recours est ouverte (art. 309 let. b ch. 7 et 319 let. a CPC; art. 174 al. 1 et 194 al. 1 LP).</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rPr>
          <w:b/>
        </w:rPr>
        <w:t>E. 3.1</w:t>
      </w:r>
    </w:p>
    <w:p>
      <w:r>
        <w:t>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Grundriß des Schuldbetreibungs-und Konkursrechts, 9ème éd., 2013, p. 339), pour autant qu'ils le soient dans le délai de recours (ATF 139 III 491 consid. 4.4; arrêt du Tribunal fédéral 5A_427/2013 du 14 août 2013 consid. 5.2.1.2).</w:t>
      </w:r>
    </w:p>
    <w:p>
      <w:r>
        <w:t>- 5/8 -</w:t>
      </w:r>
    </w:p>
    <w:p>
      <w:r>
        <w:t>C/19267/2019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w:t>
      </w:r>
    </w:p>
    <w:p>
      <w:r>
        <w:rPr>
          <w:b/>
        </w:rPr>
        <w:t>E. 3.2</w:t>
      </w:r>
    </w:p>
    <w:p>
      <w:r>
        <w:t>En l'espèce, la recourante a produit des pièces visant à établir le paiement de la dette, y compris intérêts et frais, faisant l'objet de la poursuite intentée par l'intimée ainsi que des pièces tendant à rendre vraisemblable sa solvabilité, de sorte que celles-ci sont recevables.</w:t>
      </w:r>
    </w:p>
    <w:p>
      <w:r>
        <w:rPr>
          <w:b/>
        </w:rPr>
        <w:t>E. 4.1</w:t>
      </w:r>
    </w:p>
    <w:p>
      <w:r>
        <w:t>Selon l'art. 174 al. 2 LP, l'autorité de recours peut annuler le jugement lorsque le débiteur, en déposant le recours, rend vraisemblable sa solvabilité et qu'il établit par titres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(COMMETTA, Commentaire romand, LP, 2005, n. 8 ad. art. 174 LP).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Commentaire de la loi fédérale sur la poursuite pour dettes et la faillite, 2001, n. 44 ad art. 174 LP). Si le poursuivi est astreint à tenir une comptabilité commerciale courante, en application de l'art. 957 CO, il doit</w:t>
      </w:r>
    </w:p>
    <w:p>
      <w:r>
        <w:t>- 6/8 -</w:t>
      </w:r>
    </w:p>
    <w:p>
      <w:r>
        <w:t>C/19267/2019 être à même de produire un ratio de liquidités, le cas échéant certifié exact par l'organe de révision (GILLIERON, op. cit., n. 44 ad art. 174 LP; COMETTA, op. cit., n. 10 ad art. 174 LP et les références citées).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 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publié in SJ 2000 I p. 250).</w:t>
      </w:r>
    </w:p>
    <w:p>
      <w:r>
        <w:rPr>
          <w:b/>
        </w:rPr>
        <w:t>E. 4.2</w:t>
      </w:r>
    </w:p>
    <w:p>
      <w:r>
        <w:t>En l'espèce, il est constant que la recourante a soldé la poursuite introduite par l'intimée, en capital, intérêts et frais. Les frais judiciaires de première et de seconde instances ont été réglés. La première condition pour annuler le jugement de faillite est remplie.</w:t>
      </w:r>
    </w:p>
    <w:p>
      <w:r>
        <w:t>A teneur du décompte du 6 novembre 2019, le nombre de poursuites subsistant à l'encontre de la recourante est peu élevé (sept). Ces poursuites se trouvent au stade de la notification du commandement de payer, de l'opposition ou de l'ouverture de la poursuite. La recourante n'a formé opposition qu'à une seule de ces poursuites, ceci à hauteur d'une partie de la créance en cause uniquement, après avoir réglé l'autre. Elle ne fait dès lors pas systématiquement opposition aux poursuites dirigées à son encontre. Selon l'extrait des poursuites du 16 octobre 2019, elle ne fait l'objet d'aucun acte de défaut de biens. Elle ne laisse pas se multiplier des poursuites pour des montants faibles. L'extrait de compte bancaire produit permet, par ailleurs, de retenir que la recourante est en mesure d'honorer ses charges</w:t>
      </w:r>
    </w:p>
    <w:p>
      <w:r>
        <w:t>- 7/8 -</w:t>
      </w:r>
    </w:p>
    <w:p>
      <w:r>
        <w:t>C/19267/2019 courantes. Enfin, les pièces produites permettent de retenir une amélioration de sa situation financière dans un avenir proche. En définitive, la recourante a rendu vraisemblable que, bien qu'ayant des difficultés passagères de paiement, elle peut être considérée comme solvable. Le recours se révèle dès lors fondé, de sorte que le chiffre 1 du dispositif du jugement sera annulé et la faillite rétractée (art. 327 al. 3 let. c CPC).</w:t>
      </w:r>
    </w:p>
    <w:p>
      <w:r>
        <w:rPr>
          <w:b/>
        </w:rPr>
        <w:t>E. 5.1</w:t>
      </w:r>
    </w:p>
    <w:p>
      <w:r>
        <w:t>Compte tenu des circonstances particulières de la présente cause, en particulier du fait que le jugement de faillite était fondé au moment où il a été prononcé, dès lors que la créance de l'intimée n'avait pas été réglée, il convient, en application - à tout le moins par analogie - des art. 107 al. 1 let. b et/ou f, voire de l'art. 108 CPC, de s'écarter du principe selon lequel les frais sont mis à la charge de la partie succombante (art. 106 al. 1, 1ère phrase, CPC) et de laisser les frais judiciaires à la charge de la recourante. Ceux-ci seront arrêtés à 220 fr. et compensés avec l'avance versée par elle, qui reste acquise à l'Etat de Genève (art. 111 al. 1 CPC).</w:t>
      </w:r>
    </w:p>
    <w:p>
      <w:r>
        <w:rPr>
          <w:b/>
        </w:rPr>
        <w:t>E. 5.2</w:t>
      </w:r>
    </w:p>
    <w:p>
      <w:r>
        <w:t>Il ne sera pas alloué de dépens à l'intimée, les démarches effectuées ne le justifiant pas (art. 95 al. 3 let. c CPC).</w:t>
      </w:r>
    </w:p>
    <w:p>
      <w:r>
        <w:rPr>
          <w:b/>
        </w:rPr>
        <w:t>E. 5.3</w:t>
      </w:r>
    </w:p>
    <w:p>
      <w:r>
        <w:t>Pour le surplus, dès lors que le jugement entrepris était fondé au moment où il a été prononcé, il n'y a pas lieu de modifier la répartition des frais de première instance opérée par le Tribunal (cf. art. 318 al. 3 CPC). Les chiffres 2 et 3 du dispositif du jugement seront par conséquent confirmés. * * * * *</w:t>
      </w:r>
    </w:p>
    <w:p>
      <w:r>
        <w:t>- 8/8 -</w:t>
      </w:r>
    </w:p>
    <w:p>
      <w:r>
        <w:t>C/19267/2019 PAR CES MOTIFS, La Chambre civile : A la forme : Déclare recevable le recours interjeté le 10 octobre 2019 par A______ SARL contre le jugement JTPI/13775/2019 rendu le 30 septembre 2019 par le Tribunal de première instance dans la cause C/19279/2019-22 SFC. Au fond : Annule le chiffre 1 du dispositif du jugement attaqué. Rejette la requête de faillite formée par la CAISSE DE COMPENSATION B______ le 23 août 2019. Confirme le jugement entrepris pour le surplus. Déboute les parties de toutes autres conclusions. Sur les frais : Arrête les frais judiciaires du recours à 220 fr., les met à la charge de A______ SARL et dit qu'ils sont compensés avec l'avance de frais fournie, qui reste acquise à l'Etat de Genève.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