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ACJC/462/2018 vom 30. April 2018</w:t>
      </w:r>
    </w:p>
    <w:p>
      <w:r>
        <w:t>GE Cour de justice, 2018-04-30, FR</w:t>
      </w:r>
    </w:p>
    <w:p>
      <w:r>
        <w:rPr>
          <w:b/>
        </w:rPr>
        <w:t xml:space="preserve">Quelle: </w:t>
      </w:r>
      <w:r>
        <w:t>https://mcp.opencaselaw.ch/entscheid/ge_gerichte_ACJC_462_2018</w:t>
      </w:r>
    </w:p>
    <w:p>
      <w:r>
        <w:t>FR: GE_GERICHTE ACJC/462/2018 du 30 avril 2018</w:t>
      </w:r>
    </w:p>
    <w:p>
      <w:r>
        <w:t>IT: GE_GERICHTE ACJC/462/2018 del 30 aprile 2018</w:t>
      </w:r>
    </w:p>
    <w:p>
      <w:pPr>
        <w:pStyle w:val="Heading2"/>
      </w:pPr>
      <w:r>
        <w:t>Erwägungen</w:t>
      </w:r>
    </w:p>
    <w:p>
      <w:r>
        <w:rPr>
          <w:b/>
        </w:rPr>
        <w:t>E. 4</w:t>
      </w:r>
    </w:p>
    <w:p>
      <w:r>
        <w:t>Dans leurs écritures, les appelants concluent au déboutement des intimées de toutes leurs conclusions de première instance – et donc également de leurs conclusions en inscription définitive d'une hypothèque légale des artisans et entrepreneurs. Ils ne formulent toutefois aucun grief à cet égard et ne critiquent pas la décision du premier juge, par exemple en soutenant que les conditions de cette inscription ne seraient pas réunies in casu.</w:t>
      </w:r>
    </w:p>
    <w:p>
      <w:r>
        <w:t>En tant qu'elles visent l'inscription définitive d'une hypothèque légale des artisans et entrepreneurs, leurs conclusions sont ainsi irrecevables, faute de motivation suffisante.</w:t>
      </w:r>
    </w:p>
    <w:p>
      <w:r>
        <w:rPr>
          <w:b/>
        </w:rPr>
        <w:t>E. 5</w:t>
      </w:r>
    </w:p>
    <w:p>
      <w:r>
        <w:t>En définitive, le jugement attaqué sera confirmé, sous réserve de la rectification dont il a été question ci-dessus sous consid. 2.</w:t>
      </w:r>
    </w:p>
    <w:p>
      <w:r>
        <w:rPr>
          <w:b/>
        </w:rPr>
        <w:t>E. 6.1</w:t>
      </w:r>
    </w:p>
    <w:p>
      <w:r>
        <w:t>Les frais judiciaires d'appel seront arrêtés à 5'814 fr. (art. 95 al. 1 let. a et al. 2 et 105 al. 1 CPC; art. 13, 17 et 35 RTFMC), compensés avec l'avance de frais du même montant versée par les appelants, laquelle demeure acquise à l'Etat de</w:t>
      </w:r>
    </w:p>
    <w:p>
      <w:r>
        <w:t>- 17/18 -</w:t>
      </w:r>
    </w:p>
    <w:p>
      <w:r>
        <w:t>C/9485/2013 Genève (art. 111 al. 1 CPC), et mis à la charge de ces derniers, qui succombent intégralement (art. 106 al. 1 CPC).</w:t>
      </w:r>
    </w:p>
    <w:p>
      <w:r>
        <w:rPr>
          <w:b/>
        </w:rPr>
        <w:t>E. 6.2</w:t>
      </w:r>
    </w:p>
    <w:p>
      <w:r>
        <w:t>Compte tenu de la valeur litigieuse et de l'activité déployée par le conseil des intimées, qui a consisté pour l'essentiel à rédiger une réponse à l'appel d'une dizaine de pages, les appelants seront condamnés, solidairement entre eux, à verser aux intimées la somme de 4'500 fr., débours et TVA compris, à titre de dépens de seconde instance (art. 95 al. 1 let. b et al. 3 et 105 al. 2 CPC; art. 84, 85 et 90 RTFMC; art. 20 al. 1, 25 et 26 al. 1 LaCC; art. 25 al. 1 LTVA).</w:t>
      </w:r>
    </w:p>
    <w:p>
      <w:r>
        <w:t>* * * * * *</w:t>
      </w:r>
    </w:p>
    <w:p>
      <w:r>
        <w:t>- 18/18 -</w:t>
      </w:r>
    </w:p>
    <w:p>
      <w:r>
        <w:t>C/9485/2013 PAR CES MOTIFS, La Chambre civile : A la forme : Déclare recevable l'appel interjeté le 21 août 2017 par B______ et A______ contre le jugement JTPI/7667/2017 rendu le 12 juin 2017 par le Tribunal de première instance dans la cause C/9485/2013-2. Au fond : Modifie le dispositif du jugement querellé, en ce sens que la MASSE EN FAILLITE DE D______ SA a succédé à D______ SA, EN LIQUIDATION, dans la présente procédure. Confirme le jugement attaqué pour le surplus. Déboute les parties de toutes autres conclusions. Sur les frais : Arrête les frais judiciaires d'appel à 5'814 fr., les met à la charge de B______ et A______ et les compense entièrement avec l'avance de frais, qui reste acquise à l'Etat de Genève. Condamne B______ et A______, solidairement entre eux, à verser à C______ SA et à la MASSE EN FAILLITE DE D______ SA, solidairement entre elles, la somme de 4'500 fr. à titre de dépens d'appel.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