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ACJC/461/2023 vom 3. April 2023</w:t>
      </w:r>
    </w:p>
    <w:p>
      <w:r>
        <w:t>GE Cour de justice, 2023-04-03, FR</w:t>
      </w:r>
    </w:p>
    <w:p>
      <w:r>
        <w:rPr>
          <w:b/>
        </w:rPr>
        <w:t xml:space="preserve">Quelle: </w:t>
      </w:r>
      <w:r>
        <w:t>https://mcp.opencaselaw.ch/entscheid/ge_gerichte_ACJC_461_2023</w:t>
      </w:r>
    </w:p>
    <w:p>
      <w:r>
        <w:t>FR: GE_GERICHTE ACJC/461/2023 du 3 avril 2023</w:t>
      </w:r>
    </w:p>
    <w:p>
      <w:r>
        <w:t>IT: GE_GERICHTE ACJC/461/2023 del 3 aprile 2023</w:t>
      </w:r>
    </w:p>
    <w:p>
      <w:pPr>
        <w:pStyle w:val="Heading2"/>
      </w:pPr>
      <w:r>
        <w:t>Volltext</w:t>
      </w:r>
    </w:p>
    <w:p>
      <w:r>
        <w:t>Le présent arrêt est communiqué aux parties par plis recommandés du 3 avril 2023</w:t>
      </w:r>
    </w:p>
    <w:p>
      <w:r>
        <w:t>REPUBLIQUE ET</w:t>
      </w:r>
    </w:p>
    <w:p>
      <w:r>
        <w:t>CANTON DE GENEVE POUVOIR JUDICIAIRE C/16637/2022 ACJC/461/2023 ARRÊT DE LA COUR DE JUSTICE Chambre civile DU JEUDI 30 MARS 2023</w:t>
      </w:r>
    </w:p>
    <w:p>
      <w:r>
        <w:t>Entre A______, sise ______, demanderesse comparant par Me Sandro VECCHIO, avocat, Degni &amp; Vecchio, rue du Général-Dufour 12, case postale 220, 1211 Genève 8, en l'Étude duquel elle fait élection de domicile, et C______ SA, sise ______, défenderesse comparant par Me Lorenz EHRLER, avocat, VISCHER Genève Sàrl, rue du Cloître 2, case postale 3067, 1211 Genève 3, en l'Étude duquel elle fait élection de domicile.</w:t>
      </w:r>
    </w:p>
    <w:p>
      <w:r>
        <w:t>- 2/3 -</w:t>
      </w:r>
    </w:p>
    <w:p>
      <w:r>
        <w:t>C/16637/2022 Vu la demande en cessation de l'utilisation illicite d'un brevet et en paiement déposée par A______ [école] contre C______ SA par devant la Cour de justice le 30 août 2022; Vu la réponse de C______ SA du 25 novembre 2022, concluant à l'irrecevabilité de la demande, subsidiairement à son rejet, se prévalant notamment de ce que le litige ne relevait pas de la compétence matérielle de la Cour; Vu l'ordonnance rendue par la Chambre civile le 6 mars 2023, limitant la procédure à la question de la compétence à raison de la matière pour connaître de la demande et invitant les parties à lui indiquer si elles sollicitaient des plaidoiries finales; Attendu que par courrier du 13 mars 2023, la demanderesse a sollicité des plaidoiries finales écrites sur la question de la compétence; Que par courrier du même jour, C______ SA a déclaré renoncer à plaider pour autant que sa partie adverse y renonce également; Qu'il y a, partant, lieu d'ordonner des plaidoiries finales écrites sur la question de la compétence à raison de la matière et de fixer aux deux parties un délai à cet effet. * * * * *</w:t>
      </w:r>
    </w:p>
    <w:p>
      <w:r>
        <w:t>- 3/3 -</w:t>
      </w:r>
    </w:p>
    <w:p>
      <w:r>
        <w:t>C/16637/2022 PAR CES MOTIFS, La Chambre civile : Statuant préparatoirement : Ordonne les plaidoiries finales écrites sur la question de la compétence à raison de la matière. Fixe aux deux parties un délai au 5 mai 2023 pour le dépôt de leurs plaidoiries finales écrites. Siégeant : Madame Ursula ZEHETBAUER GHAVAMI, présidente; Madame Sophie MARTINEZ, greffière.</w:t>
      </w:r>
    </w:p>
    <w:p>
      <w:r>
        <w:t>Indication des voies de recours : Conformément aux art. 72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