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ACJC/460/2019 vom 11. April 2019</w:t>
      </w:r>
    </w:p>
    <w:p>
      <w:r>
        <w:t>GE Cour de justice, 2019-04-11, FR</w:t>
      </w:r>
    </w:p>
    <w:p>
      <w:r>
        <w:rPr>
          <w:b/>
        </w:rPr>
        <w:t xml:space="preserve">Quelle: </w:t>
      </w:r>
      <w:r>
        <w:t>https://mcp.opencaselaw.ch/entscheid/ge_gerichte_ACJC_460_2019</w:t>
      </w:r>
    </w:p>
    <w:p>
      <w:r>
        <w:t>FR: GE_GERICHTE ACJC/460/2019 du 11 avril 2019</w:t>
      </w:r>
    </w:p>
    <w:p>
      <w:r>
        <w:t>IT: GE_GERICHTE ACJC/460/2019 del 11 aprile 2019</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w:t>
      </w:r>
    </w:p>
    <w:p>
      <w:r>
        <w:rPr>
          <w:b/>
        </w:rPr>
        <w:t>E. 1.2</w:t>
      </w:r>
    </w:p>
    <w:p>
      <w:r>
        <w:t>En l'occurrence, le renvoi ne porte que sur les frais et dépens de deuxième instance cantonale. Il convient donc de statuer à nouveau sur ce point.</w:t>
      </w:r>
    </w:p>
    <w:p>
      <w:r>
        <w:rPr>
          <w:b/>
        </w:rPr>
        <w:t>E. 2.1</w:t>
      </w:r>
    </w:p>
    <w:p>
      <w:r>
        <w:t>Les frais comprennent les frais judiciaires et les dépens, les cantons en fixant le tarif (art. 95 al. 1 et 96 CPC).</w:t>
      </w:r>
    </w:p>
    <w:p>
      <w:r>
        <w:t>Les frais sont mis à la charge de la partie succombante (art. 95 et 106 al. 1 ab initio CPC). Lorsqu'aucune des parties n'obtient entièrement gain de cause, les frais sont répartis selon le sort de la cause (art. 106 al. 2 CPC).</w:t>
      </w:r>
    </w:p>
    <w:p>
      <w:r>
        <w:t>- 4/5 -</w:t>
      </w:r>
    </w:p>
    <w:p>
      <w:r>
        <w:t>C/22909/2014</w:t>
      </w:r>
    </w:p>
    <w:p>
      <w:r>
        <w:rPr>
          <w:b/>
        </w:rPr>
        <w:t>E. 2.2</w:t>
      </w:r>
    </w:p>
    <w:p>
      <w:r>
        <w:t>En l'espèce, les frais relatifs à l'appel ont été arrêtés à 10'570 fr., sans que ce montant ne fasse l'objet d'une contestation. Conforme à la loi (art. 95 al. 1 let. a et al. 2 et 105 al. 1 CPC; art. 13, 17 et 35 RTFMC), il sera dès lors confirmé. Ces frais seront mis à la charge de A______ SA, qui succombe intégralement en deuxième instance (art. 106 al. 1 CPC), et compensés avec l'avance versée par cette dernière, qui reste acquise à l'Etat de Genève (art. 111 al. 1 CPC).</w:t>
      </w:r>
    </w:p>
    <w:p>
      <w:r>
        <w:t>A______ SA sera en outre condamnée à verser aux époux B______, D______ et F______, créanciers solidaires, la somme de 6'500 fr., débours et TVA compris, à titre de dépens de deuxième instance, ce montant n'étant pas critiqué par les parties (art. 95 al. 1 let. b et al. 3 et 105 al. 2 CPC; art. 85 et 90 RTFMC; art. 20 al. 1, 25 et 26 al. 1 LaCC; art. 25 al. 1 LTVA).</w:t>
      </w:r>
    </w:p>
    <w:p>
      <w:r>
        <w:rPr>
          <w:b/>
        </w:rPr>
        <w:t>E. 3</w:t>
      </w:r>
    </w:p>
    <w:p>
      <w:r>
        <w:t>Il ne sera pas perçu de frais, ni alloué de dépens pour la procédure consécutive au renvoi de la cause par le Tribunal fédéral.</w:t>
      </w:r>
    </w:p>
    <w:p>
      <w:r>
        <w:t>* * * * *</w:t>
      </w:r>
    </w:p>
    <w:p>
      <w:r>
        <w:t>- 5/5 -</w:t>
      </w:r>
    </w:p>
    <w:p>
      <w:r>
        <w:t>C/22909/2014 PAR CES MOTIFS, La Chambre civile : Statuant sur renvoi du Tribunal fédéral sur les frais judiciaires et dépens de deuxième instance : Arrête les frais judiciaires d'appel à 10'570 fr., les met à la charge de A______ SA et les compense entièrement avec l'avance de frais fournie par celle-ci, qui reste acquise à l'Etat de Genève. Condamne A______ SA à verser à B______, C______, D______, E______, F______ et G______, créanciers solidaires, la somme de 6'500 fr. à titre de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