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ACJC/457/2013 vom 7. September 2012</w:t>
      </w:r>
    </w:p>
    <w:p>
      <w:r>
        <w:t>GE Cour de justice, 2012-09-07, FR</w:t>
      </w:r>
    </w:p>
    <w:p>
      <w:r>
        <w:rPr>
          <w:b/>
        </w:rPr>
        <w:t xml:space="preserve">Quelle: </w:t>
      </w:r>
      <w:r>
        <w:t>https://mcp.opencaselaw.ch/entscheid/ge_gerichte_ACJC_457_2013</w:t>
      </w:r>
    </w:p>
    <w:p>
      <w:r>
        <w:t>FR: GE_GERICHTE ACJC/457/2013 du 7 septembre 2012</w:t>
      </w:r>
    </w:p>
    <w:p>
      <w:r>
        <w:t>IT: GE_GERICHTE ACJC/457/2013 del 7 settembre 2012</w:t>
      </w:r>
    </w:p>
    <w:p>
      <w:pPr>
        <w:pStyle w:val="Heading2"/>
      </w:pPr>
      <w:r>
        <w:t>Erwägungen</w:t>
      </w:r>
    </w:p>
    <w:p>
      <w:r>
        <w:rPr>
          <w:b/>
        </w:rPr>
        <w:t>E. 1</w:t>
      </w:r>
    </w:p>
    <w:p>
      <w:r>
        <w:t>Contre les jugements de mesures protectrices de l'union conjugale, qui doivent être considérés comme des décisions provisionnelles au sens de l'art. 308 al. 1 let. b CPC, rendus dans les causes dont la valeur litigieuse au dernier état des</w:t>
      </w:r>
    </w:p>
    <w:p>
      <w:r>
        <w:t>- 5/11 -</w:t>
      </w:r>
    </w:p>
    <w:p>
      <w:r>
        <w:t>C/5395/2012 conclusions devant l'autorité inférieure est supérieure à 10'000 fr. (art. 308 al. 2 CPC), seul l'appel motivé, formé par écrit (art. 311 al. 1 CPC) dans un délai de dix jours à compter de la notification de la décision (art. 271 let. a et 314 al. 1 CPC) est recevable.</w:t>
      </w:r>
    </w:p>
    <w:p>
      <w:r>
        <w:t>Formé dans le délai et selon la forme prescrits, l'appel est recevable.</w:t>
      </w:r>
    </w:p>
    <w:p>
      <w:r>
        <w:rPr>
          <w:b/>
        </w:rPr>
        <w:t>E. 2</w:t>
      </w:r>
    </w:p>
    <w:p>
      <w:r>
        <w:t>L'instance d'appel revoit la cause en fait et en droit avec un plein pouvoir d'examen (art. 310 CPC).</w:t>
      </w:r>
    </w:p>
    <w:p>
      <w:r>
        <w:t>Les maximes de procédure qui ont prévalu en première instance s'appliquent également en appel (VOLKART, in Schweizerische Zivilprozessordnung [ZPO], BRUNNER/GASSER/SCHWADER [éd.], n. 7 ff. ad Art. 316 CPC; REETZ/HILBER, in Kommentar zur Schweizerischen Zivilprozessordnung [ZPO], SUTTER- SOMM/HASENBÖHLER/LEUENBERGER [éd.], 2010, n. 16 ad Art. 316 CPC; JEANDIN, in CPC, Code de procédure civile commenté, BOHNET/HALDY/ JEANDIN/SCHWEIZER/TAPPY, [éd.], 2011, n. 6 ad art. 316).</w:t>
      </w:r>
    </w:p>
    <w:p>
      <w:r>
        <w:t>Par conséquent, la Cour établit d'office les faits (art. 272 al. 1 et 296 al. 1 CPC) et n'est pas liée par les conclusions des parties s'agissant des questions relatives aux enfants (maxime d'office; art. 296 al. 3 CPC).</w:t>
      </w:r>
    </w:p>
    <w:p>
      <w:r>
        <w:rPr>
          <w:b/>
        </w:rPr>
        <w:t>E. 3.1</w:t>
      </w:r>
    </w:p>
    <w:p>
      <w:r>
        <w:t>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5A_402/2010 du 10 septembre 2010 consid. 4.2.2, 5A_205/2010 du 12 juillet 2010 consid. 4.2.2 et 5P. 387/2002 du 27 février 2003 consid. 2, in FamPra.ch 2003 p. 636). La décision sur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5A_402/2010 du 10 septembre 2010 consid. 4.2.2 et 5A_205/2010 du 12 juillet 2010 consid. 4.2.2).</w:t>
      </w:r>
    </w:p>
    <w:p>
      <w:r>
        <w:t>Des modifications mineures n'entrent pas en considération (CHAIX, in Commentaire romand, PICHIONNAZ/FOEX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La question de la modification s'apprécie en tenant compte des circonstances concrètes de l'espèce. Des pertes ou des améliorations de même ampleur ont des effets plus importants dans une situation</w:t>
      </w:r>
    </w:p>
    <w:p>
      <w:r>
        <w:t>- 6/11 -</w:t>
      </w:r>
    </w:p>
    <w:p>
      <w:r>
        <w:t>C/5395/2012 financière serrée que lorsqu'il existe un disponible considérable (VETTERLI, op. cit., n. 2 ad art 179 CC; HAUSHEER/REUSSER/GEISER, op. cit., n. 10 ad art. 179 CC).</w:t>
      </w:r>
    </w:p>
    <w:p>
      <w:r>
        <w:t>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in Berner Kommentar, 1999, n. 10 ad art. 179 CC).</w:t>
      </w:r>
    </w:p>
    <w:p>
      <w:r>
        <w:t>En règle générale, la modification des mesures protectrices prend effet au moment du dépôt de la requête (ATF 111 II 103 consid. 4, JdT 1988 I p. 322; arrêt du Tribunal fédéral 5A_894/2010 du 15 avril 2011 consid. 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(arrêts du Tribunal fédéral 5A_461/2011 du 14 octobre 2011 consid. 5.1, in SJ 2012 I p. 148 et 5A_894/2010 du 15 avril 2011 consid. 6.2).</w:t>
      </w:r>
    </w:p>
    <w:p>
      <w:r>
        <w:rPr>
          <w:b/>
        </w:rPr>
        <w:t>E. 3.2</w:t>
      </w:r>
    </w:p>
    <w:p>
      <w:r>
        <w:t>En l'espèce, à l'appui de sa requête en modification, l'intimé se prévaut d'une baisse de revenu à la suite de la perte de son emploi.</w:t>
      </w:r>
    </w:p>
    <w:p>
      <w:r>
        <w:t>Dès lors que le montant de la contribution à l'entretien dont la modification est sollicitée par l'intimé correspond à son disponible au moment du jugement du</w:t>
      </w:r>
    </w:p>
    <w:p>
      <w:r>
        <w:rPr>
          <w:b/>
        </w:rPr>
        <w:t>E. 8</w:t>
      </w:r>
    </w:p>
    <w:p>
      <w:r>
        <w:t>juillet 2011 dans la cause C/6543/23011 à compter du 1er mars 2012, en ce sens que B______ est condamné à payer à A______, à titre de contributions à l'entretien de la famille, allocations familiales non comprises, pour la période du 1er mars 2012 au 30 avril 2013, la somme de 10'600 fr, sous imputation des sommes versées soit 1'000 fr. pour mars 2012, 1'000 fr. pour avril 2012, 1'000 fr. pour mai 2012, 700 fr pour juin 2012, 900 fr. pour juillet 2012, 750 fr. pour août 2012 et 570 fr. par mois de septembre 2012 à avril 2013. Déboute B______ de ses conclusions en modification du jugement no JTPI/11505/2011 du 8 juillet 2011 pour la période qui suit le 30 avril 2013. Confirme le jugement querellé pour le surplus. Déboute les parties de toutes autres conclusions. Statuant sur les frais d'appel : Dit que les parties conservent leurs frais d'appel. Arrête les frais judiciaires d'appel à 700 fr., l'appelante étant exonérée de leur paiement, sous réserve de l'art. 123 CPC. Siégeant : Madame Marguerite JACOT-DES-COMBES, présidente; Madame Sylvie DROIN, Monsieur Blaise PAGAN, juges; Madame Nathalie DESCHAMPS, greffière.</w:t>
      </w:r>
    </w:p>
    <w:p>
      <w:r>
        <w:t>La présidente : Marguerite JACOT-DES-COMBES</w:t>
      </w:r>
    </w:p>
    <w:p>
      <w:r>
        <w:t>La greffière : Nathalie DESCHAMPS</w:t>
      </w:r>
    </w:p>
    <w:p>
      <w:r>
        <w:t>- 11/11 -</w:t>
      </w:r>
    </w:p>
    <w:p>
      <w:r>
        <w:t>C/5395/2012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